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3CD2FC36" w:rsidR="009B6F95" w:rsidRPr="00C803F3" w:rsidRDefault="005741F4" w:rsidP="009B6F95">
          <w:pPr>
            <w:pStyle w:val="Title1"/>
          </w:pPr>
          <w:r>
            <w:t>Arts Council England’s National Portfolio Organisation funding</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C2E8129" w:rsidR="5840B0EA" w:rsidRDefault="004E794E"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4B46BEAF" w:rsidR="00AD72B1" w:rsidRDefault="009E1591" w:rsidP="009E083C">
      <w:pPr>
        <w:ind w:left="0" w:firstLine="0"/>
      </w:pPr>
      <w:r>
        <w:t xml:space="preserve">This paper </w:t>
      </w:r>
      <w:r w:rsidR="00FA3DB0">
        <w:t xml:space="preserve">provides </w:t>
      </w:r>
      <w:r w:rsidR="005741F4">
        <w:t xml:space="preserve">an overview of Arts Council England (ACE)’s latest National Portfolio Organisation </w:t>
      </w:r>
      <w:r w:rsidR="002C4336">
        <w:t xml:space="preserve">(NPO) </w:t>
      </w:r>
      <w:r w:rsidR="005741F4">
        <w:t>funding round as background to a presentation from Laura Dyer, Deputy Chief Executive of ACE</w:t>
      </w:r>
      <w:r w:rsidR="0021743D">
        <w:t>.</w:t>
      </w:r>
      <w:r w:rsidR="005741F4">
        <w:t xml:space="preserve"> It also sets out initial plans for further engagement between ACE and the LGA.</w:t>
      </w:r>
      <w:r w:rsidR="00FA3DB0">
        <w:t xml:space="preserve"> </w:t>
      </w:r>
      <w:r w:rsidR="004E794E">
        <w:t>T</w:t>
      </w:r>
      <w:r>
        <w:t>he CTS Board</w:t>
      </w:r>
      <w:r w:rsidR="004E794E">
        <w:t xml:space="preserve"> is asked to note the </w:t>
      </w:r>
      <w:r w:rsidR="00E313EA">
        <w:t xml:space="preserve">paper and </w:t>
      </w:r>
      <w:r w:rsidR="005741F4">
        <w:t xml:space="preserve">share their views on the </w:t>
      </w:r>
      <w:r w:rsidR="002C4336">
        <w:t xml:space="preserve">NPO </w:t>
      </w:r>
      <w:r w:rsidR="005741F4">
        <w:t>decision making proce</w:t>
      </w:r>
      <w:r w:rsidR="002C4336">
        <w:t>ss</w:t>
      </w:r>
      <w:r>
        <w:t xml:space="preserve">. </w:t>
      </w:r>
    </w:p>
    <w:p w14:paraId="3BDE4519" w14:textId="637389E3" w:rsidR="00AD72B1" w:rsidRDefault="00AD72B1" w:rsidP="009E083C">
      <w:pPr>
        <w:ind w:left="0" w:firstLine="0"/>
      </w:pPr>
      <w:r>
        <w:rPr>
          <w:rStyle w:val="normaltextrun"/>
          <w:rFonts w:cs="Arial"/>
          <w:color w:val="000000"/>
          <w:shd w:val="clear" w:color="auto" w:fill="FFFFFF"/>
        </w:rPr>
        <w:t>Is this report confidential? Yes</w:t>
      </w:r>
      <w:r w:rsidR="005741F4">
        <w:rPr>
          <w:rStyle w:val="normaltextrun"/>
          <w:rFonts w:cs="Arial"/>
          <w:color w:val="000000"/>
          <w:shd w:val="clear" w:color="auto" w:fill="FFFFFF"/>
        </w:rPr>
        <w:t xml:space="preserve"> </w:t>
      </w:r>
      <w:proofErr w:type="gramStart"/>
      <w:r w:rsidR="005741F4">
        <w:rPr>
          <w:rStyle w:val="normaltextrun"/>
          <w:rFonts w:ascii="MS Gothic" w:eastAsia="MS Gothic" w:hAnsi="MS Gothic" w:cs="Segoe UI" w:hint="eastAsia"/>
          <w:i/>
          <w:iCs/>
          <w:color w:val="000000"/>
          <w:shd w:val="clear" w:color="auto" w:fill="FFFFFF"/>
        </w:rPr>
        <w:t>☐</w:t>
      </w:r>
      <w:r>
        <w:rPr>
          <w:rStyle w:val="normaltextrun"/>
          <w:rFonts w:cs="Arial"/>
          <w:color w:val="000000"/>
          <w:shd w:val="clear" w:color="auto" w:fill="FFFFFF"/>
        </w:rPr>
        <w:t> </w:t>
      </w:r>
      <w:r>
        <w:rPr>
          <w:rStyle w:val="tabchar"/>
          <w:rFonts w:ascii="Calibri" w:hAnsi="Calibri" w:cs="Calibri"/>
          <w:color w:val="000000"/>
          <w:shd w:val="clear" w:color="auto" w:fill="FFFFFF"/>
        </w:rPr>
        <w:t xml:space="preserve"> </w:t>
      </w:r>
      <w:r>
        <w:rPr>
          <w:rStyle w:val="normaltextrun"/>
          <w:rFonts w:cs="Arial"/>
          <w:color w:val="000000"/>
          <w:shd w:val="clear" w:color="auto" w:fill="FFFFFF"/>
        </w:rPr>
        <w:t>No</w:t>
      </w:r>
      <w:proofErr w:type="gramEnd"/>
      <w:r>
        <w:rPr>
          <w:rStyle w:val="normaltextrun"/>
          <w:rFonts w:cs="Arial"/>
          <w:color w:val="000000"/>
          <w:shd w:val="clear" w:color="auto" w:fill="FFFFFF"/>
        </w:rPr>
        <w:t> </w:t>
      </w:r>
      <w:r w:rsidR="005741F4">
        <w:rPr>
          <w:rStyle w:val="normaltextrun"/>
          <w:rFonts w:ascii="MS Gothic" w:eastAsia="MS Gothic" w:hAnsi="MS Gothic" w:cs="Segoe UI" w:hint="eastAsia"/>
          <w:i/>
          <w:iCs/>
          <w:color w:val="000000"/>
          <w:shd w:val="clear" w:color="auto" w:fill="FFFFFF"/>
        </w:rPr>
        <w:t>☒</w:t>
      </w:r>
      <w:r w:rsidR="005741F4">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EC9435D">
                <wp:simplePos x="0" y="0"/>
                <wp:positionH relativeFrom="margin">
                  <wp:align>right</wp:align>
                </wp:positionH>
                <wp:positionV relativeFrom="paragraph">
                  <wp:posOffset>33020</wp:posOffset>
                </wp:positionV>
                <wp:extent cx="5705475" cy="19113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91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092B9738" w:rsidR="000F69FB" w:rsidRDefault="000F69FB" w:rsidP="00B84F31">
                            <w:pPr>
                              <w:pStyle w:val="Title3"/>
                              <w:ind w:left="0" w:firstLine="0"/>
                            </w:pPr>
                            <w:r w:rsidRPr="00B84F31">
                              <w:t>That</w:t>
                            </w:r>
                            <w:r>
                              <w:t xml:space="preserve"> </w:t>
                            </w:r>
                            <w:r w:rsidR="002C021B">
                              <w:t>CTS Board Members note the contents of the report</w:t>
                            </w:r>
                            <w:r w:rsidR="005C05A6">
                              <w:t xml:space="preserve"> and share their views on the</w:t>
                            </w:r>
                            <w:r w:rsidR="002C4336">
                              <w:t xml:space="preserve"> NPO round</w:t>
                            </w:r>
                            <w:r w:rsidR="00035096">
                              <w:t>.</w:t>
                            </w:r>
                          </w:p>
                          <w:p w14:paraId="77241838" w14:textId="77777777" w:rsidR="000F69FB" w:rsidRPr="00A627DD" w:rsidRDefault="00C93D4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38A30DC1" w:rsidR="000F69FB" w:rsidRDefault="009E1591">
                            <w:r>
                              <w:t xml:space="preserve">Officers will incorporate </w:t>
                            </w:r>
                            <w:r w:rsidR="002C021B">
                              <w:t>the Board</w:t>
                            </w:r>
                            <w:r>
                              <w:t>’s views</w:t>
                            </w:r>
                            <w:r w:rsidR="002C021B">
                              <w:t xml:space="preserve"> as they develop</w:t>
                            </w:r>
                            <w:r w:rsidR="005741F4">
                              <w:t xml:space="preserve"> their Shared Statement </w:t>
                            </w:r>
                            <w:r w:rsidR="002C4336">
                              <w:t xml:space="preserve">of Purpose </w:t>
                            </w:r>
                            <w:r w:rsidR="005741F4">
                              <w:t>with ACE</w:t>
                            </w:r>
                            <w:r w:rsidR="00B34073">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2.6pt;width:449.25pt;height:1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092B9738" w:rsidR="000F69FB" w:rsidRDefault="000F69FB" w:rsidP="00B84F31">
                      <w:pPr>
                        <w:pStyle w:val="Title3"/>
                        <w:ind w:left="0" w:firstLine="0"/>
                      </w:pPr>
                      <w:r w:rsidRPr="00B84F31">
                        <w:t>That</w:t>
                      </w:r>
                      <w:r>
                        <w:t xml:space="preserve"> </w:t>
                      </w:r>
                      <w:r w:rsidR="002C021B">
                        <w:t>CTS Board Members note the contents of the report</w:t>
                      </w:r>
                      <w:r w:rsidR="005C05A6">
                        <w:t xml:space="preserve"> and share their views on the</w:t>
                      </w:r>
                      <w:r w:rsidR="002C4336">
                        <w:t xml:space="preserve"> NPO round</w:t>
                      </w:r>
                      <w:r w:rsidR="00035096">
                        <w:t>.</w:t>
                      </w:r>
                    </w:p>
                    <w:p w14:paraId="77241838" w14:textId="77777777" w:rsidR="000F69FB" w:rsidRPr="00A627DD" w:rsidRDefault="00C93D4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38A30DC1" w:rsidR="000F69FB" w:rsidRDefault="009E1591">
                      <w:r>
                        <w:t xml:space="preserve">Officers will incorporate </w:t>
                      </w:r>
                      <w:r w:rsidR="002C021B">
                        <w:t>the Board</w:t>
                      </w:r>
                      <w:r>
                        <w:t>’s views</w:t>
                      </w:r>
                      <w:r w:rsidR="002C021B">
                        <w:t xml:space="preserve"> as they develop</w:t>
                      </w:r>
                      <w:r w:rsidR="005741F4">
                        <w:t xml:space="preserve"> their Shared Statement </w:t>
                      </w:r>
                      <w:r w:rsidR="002C4336">
                        <w:t xml:space="preserve">of Purpose </w:t>
                      </w:r>
                      <w:r w:rsidR="005741F4">
                        <w:t>with ACE</w:t>
                      </w:r>
                      <w:r w:rsidR="00B34073">
                        <w:t>.</w:t>
                      </w:r>
                      <w:r>
                        <w:t xml:space="preserve"> </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32CF9FE0" w:rsidR="00986E7B" w:rsidRPr="00C803F3" w:rsidRDefault="00C93D4F" w:rsidP="001605F9">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9E1591">
            <w:t>Lauren Lucas</w:t>
          </w:r>
        </w:sdtContent>
      </w:sdt>
    </w:p>
    <w:p w14:paraId="0A0E0022" w14:textId="33E7EDCD" w:rsidR="00986E7B" w:rsidRDefault="00C93D4F" w:rsidP="001605F9">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rPr>
            <w:rFonts w:eastAsia="Times New Roman"/>
            <w:lang w:eastAsia="en-GB"/>
          </w:rPr>
          <w:alias w:val="Position"/>
          <w:tag w:val="Contact officer"/>
          <w:id w:val="2049946449"/>
          <w:placeholder>
            <w:docPart w:val="450FD112B71A4969BC2DE4B6F299FCAD"/>
          </w:placeholder>
          <w:text w:multiLine="1"/>
        </w:sdtPr>
        <w:sdtEndPr/>
        <w:sdtContent>
          <w:r w:rsidR="009E1591" w:rsidRPr="009E1591">
            <w:rPr>
              <w:rFonts w:eastAsia="Times New Roman"/>
              <w:lang w:eastAsia="en-GB"/>
            </w:rPr>
            <w:t>Adviser- Culture, Tourism and Sport</w:t>
          </w:r>
        </w:sdtContent>
      </w:sdt>
    </w:p>
    <w:p w14:paraId="682BCE18" w14:textId="52DCB97C" w:rsidR="00986E7B" w:rsidRDefault="00C93D4F" w:rsidP="001605F9">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E1591">
            <w:t>0207 664 3323</w:t>
          </w:r>
        </w:sdtContent>
      </w:sdt>
      <w:r w:rsidR="00986E7B" w:rsidRPr="00B5377C">
        <w:t xml:space="preserve"> </w:t>
      </w:r>
    </w:p>
    <w:p w14:paraId="18EE61F5" w14:textId="51CBABF8" w:rsidR="00986E7B" w:rsidRDefault="00C93D4F" w:rsidP="001605F9">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9E1591">
            <w:t>lauren.lucas</w:t>
          </w:r>
          <w:r w:rsidR="00986E7B" w:rsidRPr="00C803F3">
            <w:t>@local.gov.uk</w:t>
          </w:r>
        </w:sdtContent>
      </w:sdt>
    </w:p>
    <w:p w14:paraId="62486C05" w14:textId="77777777" w:rsidR="00986E7B" w:rsidRPr="00E8118A" w:rsidRDefault="00986E7B" w:rsidP="001605F9">
      <w:pPr>
        <w:pStyle w:val="Title3"/>
      </w:pPr>
    </w:p>
    <w:p w14:paraId="29D6B04F" w14:textId="77777777" w:rsidR="00986E7B" w:rsidRPr="00C803F3" w:rsidRDefault="00986E7B" w:rsidP="001605F9">
      <w:pPr>
        <w:pStyle w:val="Title3"/>
      </w:pPr>
      <w:r w:rsidRPr="00C803F3">
        <w:t xml:space="preserve"> </w:t>
      </w:r>
    </w:p>
    <w:p w14:paraId="4101652C" w14:textId="77777777" w:rsidR="009B6F95" w:rsidRPr="00C803F3" w:rsidRDefault="009B6F95"/>
    <w:p w14:paraId="4B99056E" w14:textId="348E5676" w:rsidR="009B6F95" w:rsidRDefault="009B6F95"/>
    <w:p w14:paraId="5397CBA7" w14:textId="77777777" w:rsidR="0047143B" w:rsidRDefault="0047143B"/>
    <w:p w14:paraId="4314C462" w14:textId="0EBEBA99" w:rsidR="00AD72B1" w:rsidRDefault="00AD72B1"/>
    <w:p w14:paraId="67987E57" w14:textId="10E13919" w:rsidR="00C803F3" w:rsidRDefault="00D94607" w:rsidP="000F69FB">
      <w:pPr>
        <w:pStyle w:val="Title1"/>
      </w:pPr>
      <w:r>
        <w:t>Commission</w:t>
      </w:r>
      <w:r w:rsidR="0047143B">
        <w:t xml:space="preserve"> on Culture and Local Government</w:t>
      </w:r>
    </w:p>
    <w:p w14:paraId="0FA76E30" w14:textId="10172EAB" w:rsidR="008F63E0" w:rsidRDefault="00C93D4F" w:rsidP="00B411ED">
      <w:pPr>
        <w:rPr>
          <w:rStyle w:val="Style6"/>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64661822" w14:textId="08F41400" w:rsidR="005A1F4D" w:rsidRPr="005A1F4D" w:rsidRDefault="005A1F4D" w:rsidP="00B411ED">
      <w:pPr>
        <w:rPr>
          <w:b/>
          <w:bCs/>
          <w:i/>
          <w:iCs/>
        </w:rPr>
      </w:pPr>
      <w:r w:rsidRPr="005A1F4D">
        <w:rPr>
          <w:rStyle w:val="Style6"/>
          <w:b w:val="0"/>
          <w:bCs/>
          <w:i/>
          <w:iCs/>
        </w:rPr>
        <w:t>Let’s Create</w:t>
      </w:r>
    </w:p>
    <w:p w14:paraId="7D3C9982" w14:textId="3AEF358C" w:rsidR="002C4336" w:rsidRDefault="002C4336" w:rsidP="002C4336">
      <w:pPr>
        <w:pStyle w:val="paragraph"/>
        <w:numPr>
          <w:ilvl w:val="0"/>
          <w:numId w:val="18"/>
        </w:numPr>
        <w:spacing w:before="0" w:beforeAutospacing="0" w:after="0" w:afterAutospacing="0"/>
        <w:textAlignment w:val="baseline"/>
        <w:rPr>
          <w:rFonts w:ascii="Arial" w:hAnsi="Arial" w:cs="Arial"/>
          <w:sz w:val="22"/>
          <w:szCs w:val="22"/>
        </w:rPr>
      </w:pPr>
      <w:r w:rsidRPr="002C4336">
        <w:rPr>
          <w:rStyle w:val="normaltextrun"/>
          <w:rFonts w:ascii="Arial" w:hAnsi="Arial" w:cs="Arial"/>
          <w:sz w:val="22"/>
          <w:szCs w:val="22"/>
        </w:rPr>
        <w:t xml:space="preserve">In January 2020, Arts Council England </w:t>
      </w:r>
      <w:r w:rsidR="007F517C">
        <w:rPr>
          <w:rStyle w:val="normaltextrun"/>
          <w:rFonts w:ascii="Arial" w:hAnsi="Arial" w:cs="Arial"/>
          <w:sz w:val="22"/>
          <w:szCs w:val="22"/>
        </w:rPr>
        <w:t xml:space="preserve">(ACE) </w:t>
      </w:r>
      <w:r w:rsidRPr="002C4336">
        <w:rPr>
          <w:rStyle w:val="normaltextrun"/>
          <w:rFonts w:ascii="Arial" w:hAnsi="Arial" w:cs="Arial"/>
          <w:sz w:val="22"/>
          <w:szCs w:val="22"/>
        </w:rPr>
        <w:t>published their strategy</w:t>
      </w:r>
      <w:r w:rsidRPr="002C4336">
        <w:rPr>
          <w:rFonts w:ascii="Arial" w:hAnsi="Arial" w:cs="Arial"/>
          <w:sz w:val="22"/>
          <w:szCs w:val="22"/>
        </w:rPr>
        <w:t xml:space="preserve"> ‘</w:t>
      </w:r>
      <w:hyperlink r:id="rId11" w:history="1">
        <w:r w:rsidRPr="002C4336">
          <w:rPr>
            <w:rStyle w:val="Hyperlink"/>
            <w:rFonts w:ascii="Arial" w:hAnsi="Arial" w:cs="Arial"/>
            <w:sz w:val="22"/>
            <w:szCs w:val="22"/>
            <w:lang w:eastAsia="en-US"/>
          </w:rPr>
          <w:t>Let’s Create’</w:t>
        </w:r>
      </w:hyperlink>
      <w:r w:rsidRPr="002C4336">
        <w:rPr>
          <w:rFonts w:ascii="Arial" w:hAnsi="Arial" w:cs="Arial"/>
          <w:sz w:val="22"/>
          <w:szCs w:val="22"/>
        </w:rPr>
        <w:t>, which set out their vision and priorities for the next ten years. The LGA Culture, Tourism and Sport Board</w:t>
      </w:r>
      <w:r w:rsidR="000521AC">
        <w:rPr>
          <w:rFonts w:ascii="Arial" w:hAnsi="Arial" w:cs="Arial"/>
          <w:sz w:val="22"/>
          <w:szCs w:val="22"/>
        </w:rPr>
        <w:t xml:space="preserve"> fed into the development of this strategy at several points and</w:t>
      </w:r>
      <w:r w:rsidRPr="002C4336">
        <w:rPr>
          <w:rFonts w:ascii="Arial" w:hAnsi="Arial" w:cs="Arial"/>
          <w:sz w:val="22"/>
          <w:szCs w:val="22"/>
        </w:rPr>
        <w:t xml:space="preserve"> welcomed </w:t>
      </w:r>
      <w:r w:rsidR="000521AC">
        <w:rPr>
          <w:rFonts w:ascii="Arial" w:hAnsi="Arial" w:cs="Arial"/>
          <w:sz w:val="22"/>
          <w:szCs w:val="22"/>
        </w:rPr>
        <w:t>its publication</w:t>
      </w:r>
      <w:r>
        <w:rPr>
          <w:rFonts w:ascii="Arial" w:hAnsi="Arial" w:cs="Arial"/>
          <w:sz w:val="22"/>
          <w:szCs w:val="22"/>
        </w:rPr>
        <w:t xml:space="preserve">, </w:t>
      </w:r>
      <w:r w:rsidRPr="002C4336">
        <w:rPr>
          <w:rFonts w:ascii="Arial" w:hAnsi="Arial" w:cs="Arial"/>
          <w:sz w:val="22"/>
          <w:szCs w:val="22"/>
        </w:rPr>
        <w:t xml:space="preserve">because of </w:t>
      </w:r>
      <w:r>
        <w:rPr>
          <w:rFonts w:ascii="Arial" w:hAnsi="Arial" w:cs="Arial"/>
          <w:sz w:val="22"/>
          <w:szCs w:val="22"/>
        </w:rPr>
        <w:t xml:space="preserve">its recognition of the important role of local government </w:t>
      </w:r>
      <w:r w:rsidR="007F517C">
        <w:rPr>
          <w:rFonts w:ascii="Arial" w:hAnsi="Arial" w:cs="Arial"/>
          <w:sz w:val="22"/>
          <w:szCs w:val="22"/>
        </w:rPr>
        <w:t xml:space="preserve">in a place and its culture and </w:t>
      </w:r>
      <w:r w:rsidRPr="002C4336">
        <w:rPr>
          <w:rFonts w:ascii="Arial" w:hAnsi="Arial" w:cs="Arial"/>
          <w:sz w:val="22"/>
          <w:szCs w:val="22"/>
        </w:rPr>
        <w:t xml:space="preserve">its renewed focus on museums, libraries and ‘every day’ creative activity. </w:t>
      </w:r>
    </w:p>
    <w:p w14:paraId="05E601D9" w14:textId="77777777" w:rsidR="000521AC" w:rsidRDefault="000521AC" w:rsidP="000521AC">
      <w:pPr>
        <w:pStyle w:val="paragraph"/>
        <w:spacing w:before="0" w:beforeAutospacing="0" w:after="0" w:afterAutospacing="0"/>
        <w:ind w:left="360"/>
        <w:textAlignment w:val="baseline"/>
        <w:rPr>
          <w:rFonts w:ascii="Arial" w:hAnsi="Arial" w:cs="Arial"/>
          <w:sz w:val="22"/>
          <w:szCs w:val="22"/>
        </w:rPr>
      </w:pPr>
    </w:p>
    <w:p w14:paraId="1B6E32B4" w14:textId="2FEF033A" w:rsidR="001D48D3" w:rsidRPr="001D48D3" w:rsidRDefault="001D48D3" w:rsidP="001D48D3">
      <w:pPr>
        <w:pStyle w:val="paragraph"/>
        <w:numPr>
          <w:ilvl w:val="0"/>
          <w:numId w:val="18"/>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A</w:t>
      </w:r>
      <w:r w:rsidR="000521AC">
        <w:rPr>
          <w:rStyle w:val="normaltextrun"/>
          <w:rFonts w:ascii="Arial" w:hAnsi="Arial" w:cs="Arial"/>
          <w:color w:val="000000"/>
          <w:sz w:val="22"/>
          <w:szCs w:val="22"/>
          <w:shd w:val="clear" w:color="auto" w:fill="FFFFFF"/>
        </w:rPr>
        <w:t xml:space="preserve">CE’s vision puts at its core three outcomes (creative people, cultural </w:t>
      </w:r>
      <w:proofErr w:type="gramStart"/>
      <w:r w:rsidR="000521AC">
        <w:rPr>
          <w:rStyle w:val="normaltextrun"/>
          <w:rFonts w:ascii="Arial" w:hAnsi="Arial" w:cs="Arial"/>
          <w:color w:val="000000"/>
          <w:sz w:val="22"/>
          <w:szCs w:val="22"/>
          <w:shd w:val="clear" w:color="auto" w:fill="FFFFFF"/>
        </w:rPr>
        <w:t>communities</w:t>
      </w:r>
      <w:proofErr w:type="gramEnd"/>
      <w:r w:rsidR="000521AC">
        <w:rPr>
          <w:rStyle w:val="normaltextrun"/>
          <w:rFonts w:ascii="Arial" w:hAnsi="Arial" w:cs="Arial"/>
          <w:color w:val="000000"/>
          <w:sz w:val="22"/>
          <w:szCs w:val="22"/>
          <w:shd w:val="clear" w:color="auto" w:fill="FFFFFF"/>
        </w:rPr>
        <w:t xml:space="preserve"> and a creative and cultural country) which will improve the cultural offer across the country for everyone. </w:t>
      </w:r>
      <w:r w:rsidR="000521AC">
        <w:rPr>
          <w:rStyle w:val="eop"/>
          <w:rFonts w:ascii="Arial" w:hAnsi="Arial" w:cs="Arial"/>
          <w:color w:val="000000"/>
          <w:sz w:val="22"/>
          <w:szCs w:val="22"/>
          <w:shd w:val="clear" w:color="auto" w:fill="FFFFFF"/>
        </w:rPr>
        <w:t> </w:t>
      </w:r>
      <w:r>
        <w:rPr>
          <w:rStyle w:val="eop"/>
          <w:rFonts w:ascii="Arial" w:hAnsi="Arial" w:cs="Arial"/>
          <w:color w:val="000000"/>
          <w:sz w:val="22"/>
          <w:szCs w:val="22"/>
          <w:shd w:val="clear" w:color="auto" w:fill="FFFFFF"/>
        </w:rPr>
        <w:t xml:space="preserve">It also sets out four Investment Principles: </w:t>
      </w:r>
    </w:p>
    <w:p w14:paraId="7F5B928C" w14:textId="77777777" w:rsidR="001D48D3" w:rsidRPr="001D48D3" w:rsidRDefault="001D48D3" w:rsidP="001D48D3">
      <w:pPr>
        <w:pStyle w:val="ListParagraph"/>
        <w:numPr>
          <w:ilvl w:val="0"/>
          <w:numId w:val="0"/>
        </w:numPr>
        <w:spacing w:after="0"/>
        <w:ind w:left="360"/>
        <w:rPr>
          <w:rStyle w:val="eop"/>
          <w:rFonts w:cs="Arial"/>
        </w:rPr>
      </w:pPr>
    </w:p>
    <w:p w14:paraId="5B9AA831" w14:textId="11BCFBB5" w:rsidR="001D48D3" w:rsidRDefault="001D48D3" w:rsidP="001D48D3">
      <w:pPr>
        <w:pStyle w:val="paragraph"/>
        <w:numPr>
          <w:ilvl w:val="0"/>
          <w:numId w:val="18"/>
        </w:numPr>
        <w:spacing w:before="0" w:beforeAutospacing="0" w:after="0" w:afterAutospacing="0"/>
        <w:textAlignment w:val="baseline"/>
        <w:rPr>
          <w:rStyle w:val="eop"/>
          <w:rFonts w:ascii="Arial" w:hAnsi="Arial" w:cs="Arial"/>
          <w:sz w:val="22"/>
          <w:szCs w:val="22"/>
        </w:rPr>
      </w:pPr>
      <w:r>
        <w:rPr>
          <w:rFonts w:ascii="Arial" w:hAnsi="Arial" w:cs="Arial"/>
          <w:sz w:val="22"/>
          <w:szCs w:val="22"/>
        </w:rPr>
        <w:t>The strategy will be supported by a series of Delivery Plans, the first of which was published in 2021. It</w:t>
      </w:r>
      <w:r w:rsidRPr="001D48D3">
        <w:rPr>
          <w:rStyle w:val="normaltextrun"/>
          <w:rFonts w:ascii="Arial" w:hAnsi="Arial" w:cs="Arial"/>
          <w:sz w:val="22"/>
          <w:szCs w:val="22"/>
        </w:rPr>
        <w:t xml:space="preserve"> </w:t>
      </w:r>
      <w:r>
        <w:rPr>
          <w:rStyle w:val="normaltextrun"/>
          <w:rFonts w:ascii="Arial" w:hAnsi="Arial" w:cs="Arial"/>
          <w:sz w:val="22"/>
          <w:szCs w:val="22"/>
        </w:rPr>
        <w:t>outlines</w:t>
      </w:r>
      <w:r w:rsidRPr="001D48D3">
        <w:rPr>
          <w:rStyle w:val="normaltextrun"/>
          <w:rFonts w:ascii="Arial" w:hAnsi="Arial" w:cs="Arial"/>
          <w:sz w:val="22"/>
          <w:szCs w:val="22"/>
        </w:rPr>
        <w:t xml:space="preserve"> a three-pronged approach to working in place:</w:t>
      </w:r>
      <w:r w:rsidRPr="001D48D3">
        <w:rPr>
          <w:rStyle w:val="eop"/>
          <w:rFonts w:ascii="Arial" w:hAnsi="Arial" w:cs="Arial"/>
          <w:sz w:val="22"/>
          <w:szCs w:val="22"/>
        </w:rPr>
        <w:t> </w:t>
      </w:r>
    </w:p>
    <w:p w14:paraId="3B1A7DB3" w14:textId="77777777" w:rsidR="001D48D3" w:rsidRPr="001D48D3" w:rsidRDefault="001D48D3" w:rsidP="001D48D3">
      <w:pPr>
        <w:pStyle w:val="paragraph"/>
        <w:spacing w:before="0" w:beforeAutospacing="0" w:after="0" w:afterAutospacing="0"/>
        <w:ind w:left="360"/>
        <w:textAlignment w:val="baseline"/>
        <w:rPr>
          <w:rFonts w:ascii="Arial" w:hAnsi="Arial" w:cs="Arial"/>
          <w:sz w:val="22"/>
          <w:szCs w:val="22"/>
        </w:rPr>
      </w:pPr>
    </w:p>
    <w:p w14:paraId="44E811EF" w14:textId="29B6682C" w:rsidR="00E638C4" w:rsidRDefault="001D48D3" w:rsidP="00E638C4">
      <w:pPr>
        <w:pStyle w:val="paragraph"/>
        <w:numPr>
          <w:ilvl w:val="1"/>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 universal offer that is accessible to all parts of the </w:t>
      </w:r>
      <w:proofErr w:type="gramStart"/>
      <w:r>
        <w:rPr>
          <w:rStyle w:val="normaltextrun"/>
          <w:rFonts w:ascii="Arial" w:hAnsi="Arial" w:cs="Arial"/>
          <w:sz w:val="22"/>
          <w:szCs w:val="22"/>
        </w:rPr>
        <w:t>country </w:t>
      </w:r>
      <w:r w:rsidR="00E638C4">
        <w:rPr>
          <w:rStyle w:val="eop"/>
          <w:rFonts w:ascii="Arial" w:hAnsi="Arial" w:cs="Arial"/>
          <w:sz w:val="22"/>
          <w:szCs w:val="22"/>
        </w:rPr>
        <w:t>;</w:t>
      </w:r>
      <w:proofErr w:type="gramEnd"/>
    </w:p>
    <w:p w14:paraId="0132509F" w14:textId="51C7FA86" w:rsidR="00E638C4" w:rsidRDefault="001D48D3" w:rsidP="00E638C4">
      <w:pPr>
        <w:pStyle w:val="paragraph"/>
        <w:numPr>
          <w:ilvl w:val="1"/>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continued work in places where joint investment in culture and opportunity to work with our partners and other arm’s length bodies across heritage, sport, film, tourism and civil society are relatively </w:t>
      </w:r>
      <w:proofErr w:type="gramStart"/>
      <w:r>
        <w:rPr>
          <w:rStyle w:val="normaltextrun"/>
          <w:rFonts w:ascii="Arial" w:hAnsi="Arial" w:cs="Arial"/>
          <w:sz w:val="22"/>
          <w:szCs w:val="22"/>
        </w:rPr>
        <w:t>high</w:t>
      </w:r>
      <w:r w:rsidR="00E638C4">
        <w:rPr>
          <w:rStyle w:val="normaltextrun"/>
          <w:rFonts w:ascii="Arial" w:hAnsi="Arial" w:cs="Arial"/>
          <w:sz w:val="22"/>
          <w:szCs w:val="22"/>
        </w:rPr>
        <w:t>;</w:t>
      </w:r>
      <w:proofErr w:type="gramEnd"/>
      <w:r>
        <w:rPr>
          <w:rStyle w:val="eop"/>
          <w:rFonts w:ascii="Arial" w:hAnsi="Arial" w:cs="Arial"/>
          <w:sz w:val="22"/>
          <w:szCs w:val="22"/>
        </w:rPr>
        <w:t> </w:t>
      </w:r>
    </w:p>
    <w:p w14:paraId="772BD4A4" w14:textId="30211BC0" w:rsidR="001D48D3" w:rsidRPr="00E638C4" w:rsidRDefault="001D48D3" w:rsidP="00E638C4">
      <w:pPr>
        <w:pStyle w:val="paragraph"/>
        <w:numPr>
          <w:ilvl w:val="1"/>
          <w:numId w:val="25"/>
        </w:numPr>
        <w:spacing w:before="0" w:beforeAutospacing="0" w:after="0" w:afterAutospacing="0"/>
        <w:textAlignment w:val="baseline"/>
        <w:rPr>
          <w:rStyle w:val="eop"/>
          <w:rFonts w:ascii="Arial" w:hAnsi="Arial" w:cs="Arial"/>
          <w:sz w:val="22"/>
          <w:szCs w:val="22"/>
        </w:rPr>
      </w:pPr>
      <w:r w:rsidRPr="00E638C4">
        <w:rPr>
          <w:rStyle w:val="normaltextrun"/>
          <w:rFonts w:ascii="Arial" w:hAnsi="Arial" w:cs="Arial"/>
          <w:sz w:val="22"/>
          <w:szCs w:val="22"/>
        </w:rPr>
        <w:t>priority places in which cultural engagement and ACE current investment are too low, and where, as a result, opportunities for creative and cultural engagement are underdeveloped.</w:t>
      </w:r>
      <w:r w:rsidRPr="00E638C4">
        <w:rPr>
          <w:rStyle w:val="eop"/>
          <w:rFonts w:ascii="Arial" w:hAnsi="Arial" w:cs="Arial"/>
          <w:sz w:val="22"/>
          <w:szCs w:val="22"/>
        </w:rPr>
        <w:t> </w:t>
      </w:r>
    </w:p>
    <w:p w14:paraId="67204C1F" w14:textId="77777777" w:rsidR="001D48D3" w:rsidRDefault="001D48D3" w:rsidP="001D48D3">
      <w:pPr>
        <w:pStyle w:val="paragraph"/>
        <w:spacing w:before="0" w:beforeAutospacing="0" w:after="0" w:afterAutospacing="0"/>
        <w:ind w:left="1080"/>
        <w:textAlignment w:val="baseline"/>
        <w:rPr>
          <w:rFonts w:ascii="Arial" w:hAnsi="Arial" w:cs="Arial"/>
          <w:sz w:val="22"/>
          <w:szCs w:val="22"/>
        </w:rPr>
      </w:pPr>
    </w:p>
    <w:p w14:paraId="35817E6A" w14:textId="3C83C521" w:rsidR="001D48D3" w:rsidRPr="00B93E39" w:rsidRDefault="001D48D3" w:rsidP="001D48D3">
      <w:pPr>
        <w:pStyle w:val="paragraph"/>
        <w:numPr>
          <w:ilvl w:val="0"/>
          <w:numId w:val="18"/>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 xml:space="preserve">Fifty-four places across England were selected as </w:t>
      </w:r>
      <w:r w:rsidR="005A1F4D">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priority </w:t>
      </w:r>
      <w:proofErr w:type="gramStart"/>
      <w:r>
        <w:rPr>
          <w:rStyle w:val="normaltextrun"/>
          <w:rFonts w:ascii="Arial" w:hAnsi="Arial" w:cs="Arial"/>
          <w:color w:val="000000"/>
          <w:sz w:val="22"/>
          <w:szCs w:val="22"/>
          <w:shd w:val="clear" w:color="auto" w:fill="FFFFFF"/>
        </w:rPr>
        <w:t>places</w:t>
      </w:r>
      <w:r w:rsidR="005A1F4D">
        <w:rPr>
          <w:rStyle w:val="normaltextrun"/>
          <w:rFonts w:ascii="Arial" w:hAnsi="Arial" w:cs="Arial"/>
          <w:color w:val="000000"/>
          <w:sz w:val="22"/>
          <w:szCs w:val="22"/>
          <w:shd w:val="clear" w:color="auto" w:fill="FFFFFF"/>
        </w:rPr>
        <w:t>’</w:t>
      </w:r>
      <w:proofErr w:type="gramEnd"/>
      <w:r>
        <w:rPr>
          <w:rStyle w:val="normaltextrun"/>
          <w:rFonts w:ascii="Arial" w:hAnsi="Arial" w:cs="Arial"/>
          <w:color w:val="000000"/>
          <w:sz w:val="22"/>
          <w:szCs w:val="22"/>
          <w:shd w:val="clear" w:color="auto" w:fill="FFFFFF"/>
        </w:rPr>
        <w:t xml:space="preserve">. They will remain their </w:t>
      </w:r>
      <w:r w:rsidRPr="00B93E39">
        <w:rPr>
          <w:rStyle w:val="normaltextrun"/>
          <w:rFonts w:ascii="Arial" w:hAnsi="Arial" w:cs="Arial"/>
          <w:color w:val="000000"/>
          <w:sz w:val="22"/>
          <w:szCs w:val="22"/>
          <w:shd w:val="clear" w:color="auto" w:fill="FFFFFF"/>
        </w:rPr>
        <w:t>priority places for the duration of the Delivery Plan 2021-24. ACE will study local strategic plans and consult with key stakeholders in each place, including communities, local authorities, and cultural organisations, to understand their aspirations and how they connect with the Delivery Plan for 2021-24.</w:t>
      </w:r>
      <w:r w:rsidRPr="00B93E39">
        <w:rPr>
          <w:rStyle w:val="eop"/>
          <w:rFonts w:ascii="Arial" w:hAnsi="Arial" w:cs="Arial"/>
          <w:color w:val="000000"/>
          <w:sz w:val="22"/>
          <w:szCs w:val="22"/>
          <w:shd w:val="clear" w:color="auto" w:fill="FFFFFF"/>
        </w:rPr>
        <w:t> </w:t>
      </w:r>
    </w:p>
    <w:p w14:paraId="54A07EF9" w14:textId="77777777" w:rsidR="001D48D3" w:rsidRPr="00B93E39" w:rsidRDefault="001D48D3" w:rsidP="001D48D3">
      <w:pPr>
        <w:pStyle w:val="paragraph"/>
        <w:spacing w:before="0" w:beforeAutospacing="0" w:after="0" w:afterAutospacing="0"/>
        <w:ind w:left="360"/>
        <w:textAlignment w:val="baseline"/>
        <w:rPr>
          <w:rStyle w:val="eop"/>
          <w:rFonts w:ascii="Arial" w:hAnsi="Arial" w:cs="Arial"/>
          <w:sz w:val="22"/>
          <w:szCs w:val="22"/>
        </w:rPr>
      </w:pPr>
    </w:p>
    <w:p w14:paraId="712E2D8A" w14:textId="7422DEB4" w:rsidR="005A1F4D" w:rsidRPr="00B93E39" w:rsidRDefault="001D48D3" w:rsidP="005A1F4D">
      <w:pPr>
        <w:pStyle w:val="paragraph"/>
        <w:numPr>
          <w:ilvl w:val="0"/>
          <w:numId w:val="18"/>
        </w:numPr>
        <w:spacing w:before="0" w:beforeAutospacing="0" w:after="0" w:afterAutospacing="0"/>
        <w:textAlignment w:val="baseline"/>
        <w:rPr>
          <w:rFonts w:ascii="Arial" w:hAnsi="Arial" w:cs="Arial"/>
          <w:sz w:val="22"/>
          <w:szCs w:val="22"/>
        </w:rPr>
      </w:pPr>
      <w:r w:rsidRPr="00B93E39">
        <w:rPr>
          <w:rFonts w:ascii="Arial" w:hAnsi="Arial" w:cs="Arial"/>
          <w:sz w:val="22"/>
          <w:szCs w:val="22"/>
        </w:rPr>
        <w:t xml:space="preserve">Priority places have been identified at local authority district level. Priority places have been selected by comparison with other places in their area, not other places nationally.  To establish priority places, every local authority was given a score for </w:t>
      </w:r>
      <w:r w:rsidRPr="00B93E39">
        <w:rPr>
          <w:rFonts w:ascii="Arial" w:hAnsi="Arial" w:cs="Arial"/>
          <w:b/>
          <w:bCs/>
          <w:sz w:val="22"/>
          <w:szCs w:val="22"/>
        </w:rPr>
        <w:t>need</w:t>
      </w:r>
      <w:r w:rsidRPr="00B93E39">
        <w:rPr>
          <w:rFonts w:ascii="Arial" w:hAnsi="Arial" w:cs="Arial"/>
          <w:sz w:val="22"/>
          <w:szCs w:val="22"/>
        </w:rPr>
        <w:t xml:space="preserve"> and </w:t>
      </w:r>
      <w:r w:rsidRPr="00B93E39">
        <w:rPr>
          <w:rFonts w:ascii="Arial" w:hAnsi="Arial" w:cs="Arial"/>
          <w:b/>
          <w:bCs/>
          <w:sz w:val="22"/>
          <w:szCs w:val="22"/>
        </w:rPr>
        <w:t>opportunity based across a range of metrics</w:t>
      </w:r>
      <w:r w:rsidRPr="00B93E39">
        <w:rPr>
          <w:rFonts w:ascii="Arial" w:hAnsi="Arial" w:cs="Arial"/>
          <w:sz w:val="22"/>
          <w:szCs w:val="22"/>
        </w:rPr>
        <w:t>. Need was defined by engagement and investment levels, plus other data sources, and opportunity (the capacity and ambition at this moment in time to increase engagement) was defined by a scored set of prompts. </w:t>
      </w:r>
    </w:p>
    <w:p w14:paraId="78C69566" w14:textId="6EAD7E38" w:rsidR="005A1F4D" w:rsidRPr="00B93E39" w:rsidRDefault="005A1F4D" w:rsidP="005A1F4D">
      <w:pPr>
        <w:ind w:left="0" w:firstLine="0"/>
        <w:rPr>
          <w:rFonts w:cs="Arial"/>
        </w:rPr>
      </w:pPr>
    </w:p>
    <w:p w14:paraId="10D021C8" w14:textId="03347FCB" w:rsidR="005A1F4D" w:rsidRPr="00B93E39" w:rsidRDefault="005A1F4D" w:rsidP="005A1F4D">
      <w:pPr>
        <w:ind w:left="0" w:firstLine="0"/>
        <w:rPr>
          <w:rFonts w:cs="Arial"/>
          <w:i/>
          <w:iCs/>
        </w:rPr>
      </w:pPr>
      <w:r w:rsidRPr="00B93E39">
        <w:rPr>
          <w:rFonts w:cs="Arial"/>
          <w:i/>
          <w:iCs/>
        </w:rPr>
        <w:t>Levelling Up</w:t>
      </w:r>
    </w:p>
    <w:p w14:paraId="577A1C15" w14:textId="77777777" w:rsidR="00B93E39" w:rsidRPr="00B93E39" w:rsidRDefault="005A1F4D" w:rsidP="005A1F4D">
      <w:pPr>
        <w:pStyle w:val="paragraph"/>
        <w:numPr>
          <w:ilvl w:val="0"/>
          <w:numId w:val="18"/>
        </w:numPr>
        <w:spacing w:before="0" w:beforeAutospacing="0" w:after="0" w:afterAutospacing="0"/>
        <w:textAlignment w:val="baseline"/>
        <w:rPr>
          <w:rFonts w:ascii="Arial" w:hAnsi="Arial" w:cs="Arial"/>
          <w:sz w:val="22"/>
          <w:szCs w:val="22"/>
        </w:rPr>
      </w:pPr>
      <w:r w:rsidRPr="00B93E39">
        <w:rPr>
          <w:rStyle w:val="normaltextrun"/>
          <w:rFonts w:ascii="Arial" w:hAnsi="Arial" w:cs="Arial"/>
          <w:sz w:val="22"/>
          <w:szCs w:val="22"/>
        </w:rPr>
        <w:t xml:space="preserve">The Government has placed culture as an important </w:t>
      </w:r>
      <w:r w:rsidR="006B4644" w:rsidRPr="00B93E39">
        <w:rPr>
          <w:rStyle w:val="normaltextrun"/>
          <w:rFonts w:ascii="Arial" w:hAnsi="Arial" w:cs="Arial"/>
          <w:sz w:val="22"/>
          <w:szCs w:val="22"/>
        </w:rPr>
        <w:t xml:space="preserve">pillar in its policies on levelling up. In February 2022, then Secretary of State for Culture Nadine </w:t>
      </w:r>
      <w:proofErr w:type="spellStart"/>
      <w:r w:rsidR="006B4644" w:rsidRPr="00B93E39">
        <w:rPr>
          <w:rStyle w:val="normaltextrun"/>
          <w:rFonts w:ascii="Arial" w:hAnsi="Arial" w:cs="Arial"/>
          <w:sz w:val="22"/>
          <w:szCs w:val="22"/>
        </w:rPr>
        <w:t>Dorries</w:t>
      </w:r>
      <w:proofErr w:type="spellEnd"/>
      <w:r w:rsidR="006B4644" w:rsidRPr="00B93E39">
        <w:rPr>
          <w:rStyle w:val="normaltextrun"/>
          <w:rFonts w:ascii="Arial" w:hAnsi="Arial" w:cs="Arial"/>
          <w:sz w:val="22"/>
          <w:szCs w:val="22"/>
        </w:rPr>
        <w:t xml:space="preserve"> announced her intention to address the ‘historic imbalance’ of arts funding</w:t>
      </w:r>
      <w:r w:rsidR="00B93E39" w:rsidRPr="00B93E39">
        <w:rPr>
          <w:rStyle w:val="normaltextrun"/>
          <w:rFonts w:ascii="Arial" w:hAnsi="Arial" w:cs="Arial"/>
          <w:sz w:val="22"/>
          <w:szCs w:val="22"/>
        </w:rPr>
        <w:t>: in previous years London has received around a third of all funding</w:t>
      </w:r>
      <w:r w:rsidR="006B4644" w:rsidRPr="00B93E39">
        <w:rPr>
          <w:rStyle w:val="normaltextrun"/>
          <w:rFonts w:ascii="Arial" w:hAnsi="Arial" w:cs="Arial"/>
          <w:sz w:val="22"/>
          <w:szCs w:val="22"/>
        </w:rPr>
        <w:t xml:space="preserve">. </w:t>
      </w:r>
      <w:r w:rsidR="00CB7A15" w:rsidRPr="00B93E39">
        <w:rPr>
          <w:rFonts w:ascii="Arial" w:hAnsi="Arial" w:cs="Arial"/>
          <w:color w:val="222222"/>
          <w:sz w:val="22"/>
          <w:szCs w:val="22"/>
        </w:rPr>
        <w:t> </w:t>
      </w:r>
    </w:p>
    <w:p w14:paraId="5D643378" w14:textId="5F80700A" w:rsidR="00B93E39" w:rsidRPr="00B93E39" w:rsidRDefault="00CB7A15" w:rsidP="00B93E39">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B93E39">
        <w:rPr>
          <w:rFonts w:ascii="Arial" w:hAnsi="Arial" w:cs="Arial"/>
          <w:color w:val="222222"/>
          <w:sz w:val="22"/>
          <w:szCs w:val="22"/>
        </w:rPr>
        <w:lastRenderedPageBreak/>
        <w:t>The government's </w:t>
      </w:r>
      <w:hyperlink r:id="rId12" w:history="1">
        <w:r w:rsidRPr="00B93E39">
          <w:rPr>
            <w:rStyle w:val="Hyperlink"/>
            <w:rFonts w:ascii="Arial" w:hAnsi="Arial" w:cs="Arial"/>
            <w:color w:val="auto"/>
            <w:sz w:val="22"/>
            <w:szCs w:val="22"/>
          </w:rPr>
          <w:t>Levelling-Up White Paper</w:t>
        </w:r>
      </w:hyperlink>
      <w:r w:rsidRPr="00B93E39">
        <w:rPr>
          <w:rFonts w:ascii="Arial" w:hAnsi="Arial" w:cs="Arial"/>
          <w:sz w:val="22"/>
          <w:szCs w:val="22"/>
        </w:rPr>
        <w:t> confirmed 100</w:t>
      </w:r>
      <w:r w:rsidR="00B93E39" w:rsidRPr="00B93E39">
        <w:rPr>
          <w:rFonts w:ascii="Arial" w:hAnsi="Arial" w:cs="Arial"/>
          <w:sz w:val="22"/>
          <w:szCs w:val="22"/>
        </w:rPr>
        <w:t xml:space="preserve"> per cent </w:t>
      </w:r>
      <w:r w:rsidRPr="00B93E39">
        <w:rPr>
          <w:rFonts w:ascii="Arial" w:hAnsi="Arial" w:cs="Arial"/>
          <w:sz w:val="22"/>
          <w:szCs w:val="22"/>
        </w:rPr>
        <w:t>of ACE's budget uplift must be spent outside London to “significantly increasing cultural spending outside the capital”, which was followed by confirmation funding redistributed away from London would be </w:t>
      </w:r>
      <w:hyperlink r:id="rId13" w:history="1">
        <w:r w:rsidRPr="00B93E39">
          <w:rPr>
            <w:rStyle w:val="Hyperlink"/>
            <w:rFonts w:ascii="Arial" w:hAnsi="Arial" w:cs="Arial"/>
            <w:color w:val="auto"/>
            <w:sz w:val="22"/>
            <w:szCs w:val="22"/>
          </w:rPr>
          <w:t>focused towards LUCP</w:t>
        </w:r>
      </w:hyperlink>
      <w:r w:rsidRPr="00B93E39">
        <w:rPr>
          <w:rFonts w:ascii="Arial" w:hAnsi="Arial" w:cs="Arial"/>
          <w:sz w:val="22"/>
          <w:szCs w:val="22"/>
        </w:rPr>
        <w:t>.</w:t>
      </w:r>
      <w:r w:rsidR="006B4644" w:rsidRPr="00B93E39">
        <w:rPr>
          <w:rStyle w:val="normaltextrun"/>
          <w:rFonts w:ascii="Arial" w:hAnsi="Arial" w:cs="Arial"/>
          <w:sz w:val="22"/>
          <w:szCs w:val="22"/>
        </w:rPr>
        <w:t xml:space="preserve"> The additional amount invested outside London by 2025 would be £75.5m: this included a £43.5m uplift to the Arts Council’s programme funding from DCMS, £16m to be moved out of London in 2023/24, and a further £16m moved out of London in 2024/25.</w:t>
      </w:r>
      <w:r w:rsidR="00B93E39">
        <w:rPr>
          <w:rStyle w:val="normaltextrun"/>
          <w:rFonts w:ascii="Arial" w:hAnsi="Arial" w:cs="Arial"/>
          <w:sz w:val="22"/>
          <w:szCs w:val="22"/>
        </w:rPr>
        <w:t xml:space="preserve"> </w:t>
      </w:r>
      <w:r w:rsidR="00B93E39" w:rsidRPr="00B93E39">
        <w:rPr>
          <w:rFonts w:ascii="Arial" w:hAnsi="Arial" w:cs="Arial"/>
          <w:sz w:val="22"/>
          <w:szCs w:val="22"/>
          <w:lang w:eastAsia="en-US"/>
        </w:rPr>
        <w:t>The CTS Board has previously called for a wider distribution of funding across the country.</w:t>
      </w:r>
    </w:p>
    <w:p w14:paraId="2FA518ED" w14:textId="77777777" w:rsidR="006B4644" w:rsidRPr="00B93E39" w:rsidRDefault="006B4644" w:rsidP="00B93E39">
      <w:pPr>
        <w:pStyle w:val="paragraph"/>
        <w:spacing w:before="0" w:beforeAutospacing="0" w:after="0" w:afterAutospacing="0"/>
        <w:ind w:left="360"/>
        <w:textAlignment w:val="baseline"/>
        <w:rPr>
          <w:rStyle w:val="normaltextrun"/>
          <w:rFonts w:ascii="Arial" w:hAnsi="Arial" w:cs="Arial"/>
          <w:sz w:val="22"/>
          <w:szCs w:val="22"/>
        </w:rPr>
      </w:pPr>
    </w:p>
    <w:p w14:paraId="07137769" w14:textId="21336CEA" w:rsidR="00B93E39" w:rsidRPr="00B93E39" w:rsidRDefault="005A1F4D" w:rsidP="00B93E39">
      <w:pPr>
        <w:pStyle w:val="paragraph"/>
        <w:numPr>
          <w:ilvl w:val="0"/>
          <w:numId w:val="18"/>
        </w:numPr>
        <w:spacing w:before="0" w:beforeAutospacing="0" w:after="0" w:afterAutospacing="0"/>
        <w:textAlignment w:val="baseline"/>
        <w:rPr>
          <w:rStyle w:val="normaltextrun"/>
          <w:rFonts w:ascii="Arial" w:hAnsi="Arial" w:cs="Arial"/>
          <w:lang w:eastAsia="en-US"/>
        </w:rPr>
      </w:pPr>
      <w:r>
        <w:rPr>
          <w:rStyle w:val="normaltextrun"/>
          <w:rFonts w:ascii="Arial" w:hAnsi="Arial" w:cs="Arial"/>
          <w:color w:val="000000"/>
          <w:sz w:val="22"/>
          <w:szCs w:val="22"/>
        </w:rPr>
        <w:t xml:space="preserve">Following the publication of the Priority Places list, ACE worked with the Department for Digital, Culture, </w:t>
      </w:r>
      <w:proofErr w:type="gramStart"/>
      <w:r>
        <w:rPr>
          <w:rStyle w:val="normaltextrun"/>
          <w:rFonts w:ascii="Arial" w:hAnsi="Arial" w:cs="Arial"/>
          <w:color w:val="000000"/>
          <w:sz w:val="22"/>
          <w:szCs w:val="22"/>
        </w:rPr>
        <w:t>Media</w:t>
      </w:r>
      <w:proofErr w:type="gramEnd"/>
      <w:r>
        <w:rPr>
          <w:rStyle w:val="normaltextrun"/>
          <w:rFonts w:ascii="Arial" w:hAnsi="Arial" w:cs="Arial"/>
          <w:color w:val="000000"/>
          <w:sz w:val="22"/>
          <w:szCs w:val="22"/>
        </w:rPr>
        <w:t xml:space="preserve"> and Sport (DCMS) to identify an expanded list of 109 local authority areas, all outside of Greater London, which will be the focus for additional Arts Council England engagement and investment. These are called the </w:t>
      </w:r>
      <w:r>
        <w:rPr>
          <w:rStyle w:val="normaltextrun"/>
          <w:rFonts w:ascii="Arial" w:hAnsi="Arial" w:cs="Arial"/>
          <w:b/>
          <w:bCs/>
          <w:color w:val="000000"/>
          <w:sz w:val="22"/>
          <w:szCs w:val="22"/>
        </w:rPr>
        <w:t>Levelling Up for Culture Places</w:t>
      </w:r>
      <w:r>
        <w:rPr>
          <w:rStyle w:val="normaltextrun"/>
          <w:rFonts w:ascii="Arial" w:hAnsi="Arial" w:cs="Arial"/>
          <w:color w:val="000000"/>
          <w:sz w:val="22"/>
          <w:szCs w:val="22"/>
        </w:rPr>
        <w:t>.</w:t>
      </w:r>
    </w:p>
    <w:p w14:paraId="72E9389A" w14:textId="77777777" w:rsidR="002C4336" w:rsidRDefault="002C4336" w:rsidP="00B411ED">
      <w:pPr>
        <w:pStyle w:val="paragraph"/>
        <w:spacing w:before="0" w:beforeAutospacing="0" w:after="0" w:afterAutospacing="0"/>
        <w:textAlignment w:val="baseline"/>
        <w:rPr>
          <w:rStyle w:val="normaltextrun"/>
          <w:rFonts w:ascii="Arial" w:hAnsi="Arial" w:cs="Arial"/>
          <w:sz w:val="22"/>
          <w:szCs w:val="22"/>
        </w:rPr>
      </w:pPr>
    </w:p>
    <w:p w14:paraId="75A281DE" w14:textId="6EEC6FC9" w:rsidR="002D2092" w:rsidRDefault="002C4336" w:rsidP="002D2092">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National Portfolio Organisations</w:t>
      </w:r>
    </w:p>
    <w:p w14:paraId="54F939FB" w14:textId="0522724C" w:rsidR="002D2092" w:rsidRDefault="002D2092" w:rsidP="002D2092">
      <w:pPr>
        <w:pStyle w:val="paragraph"/>
        <w:spacing w:before="0" w:beforeAutospacing="0" w:after="0" w:afterAutospacing="0"/>
        <w:textAlignment w:val="baseline"/>
        <w:rPr>
          <w:rFonts w:ascii="Arial" w:hAnsi="Arial" w:cs="Arial"/>
          <w:b/>
          <w:bCs/>
          <w:sz w:val="22"/>
          <w:szCs w:val="22"/>
        </w:rPr>
      </w:pPr>
    </w:p>
    <w:p w14:paraId="1B5CC3A2" w14:textId="7729416E" w:rsidR="00B93E39" w:rsidRPr="009E6285" w:rsidRDefault="00B93E39" w:rsidP="00B93E39">
      <w:pPr>
        <w:pStyle w:val="ListParagraph"/>
        <w:numPr>
          <w:ilvl w:val="0"/>
          <w:numId w:val="18"/>
        </w:numPr>
        <w:rPr>
          <w:rFonts w:cs="Arial"/>
        </w:rPr>
      </w:pPr>
      <w:r w:rsidRPr="00B93E39">
        <w:rPr>
          <w:rFonts w:cs="Arial"/>
        </w:rPr>
        <w:t xml:space="preserve">National Portfolio Organisations (NPOs) are </w:t>
      </w:r>
      <w:r>
        <w:rPr>
          <w:rFonts w:cs="Arial"/>
          <w:color w:val="202124"/>
          <w:shd w:val="clear" w:color="auto" w:fill="FFFFFF"/>
        </w:rPr>
        <w:t>a group of</w:t>
      </w:r>
      <w:r w:rsidRPr="00B93E39">
        <w:rPr>
          <w:rFonts w:cs="Arial"/>
          <w:b/>
          <w:bCs/>
          <w:color w:val="202124"/>
          <w:shd w:val="clear" w:color="auto" w:fill="FFFFFF"/>
        </w:rPr>
        <w:t xml:space="preserve"> </w:t>
      </w:r>
      <w:r w:rsidRPr="00B93E39">
        <w:rPr>
          <w:rFonts w:cs="Arial"/>
          <w:color w:val="202124"/>
          <w:shd w:val="clear" w:color="auto" w:fill="FFFFFF"/>
        </w:rPr>
        <w:t>arts and cultural organisations that get regular funding from ACE. The previous NPO funding programme ran from 2018 to 2022.</w:t>
      </w:r>
      <w:r>
        <w:rPr>
          <w:rFonts w:cs="Arial"/>
          <w:b/>
          <w:bCs/>
          <w:color w:val="202124"/>
          <w:shd w:val="clear" w:color="auto" w:fill="FFFFFF"/>
        </w:rPr>
        <w:t xml:space="preserve"> </w:t>
      </w:r>
      <w:r w:rsidRPr="00B93E39">
        <w:rPr>
          <w:rFonts w:cs="Arial"/>
          <w:color w:val="202124"/>
          <w:shd w:val="clear" w:color="auto" w:fill="FFFFFF"/>
        </w:rPr>
        <w:t xml:space="preserve">A </w:t>
      </w:r>
      <w:hyperlink r:id="rId14" w:history="1">
        <w:r w:rsidRPr="009E6285">
          <w:rPr>
            <w:rStyle w:val="Hyperlink"/>
            <w:rFonts w:cs="Arial"/>
            <w:shd w:val="clear" w:color="auto" w:fill="FFFFFF"/>
          </w:rPr>
          <w:t>new programme of investment</w:t>
        </w:r>
      </w:hyperlink>
      <w:r>
        <w:rPr>
          <w:rFonts w:cs="Arial"/>
          <w:color w:val="202124"/>
          <w:shd w:val="clear" w:color="auto" w:fill="FFFFFF"/>
        </w:rPr>
        <w:t xml:space="preserve"> for 2023-26 was announced </w:t>
      </w:r>
      <w:r w:rsidR="009E6285">
        <w:rPr>
          <w:rFonts w:cs="Arial"/>
          <w:color w:val="202124"/>
          <w:shd w:val="clear" w:color="auto" w:fill="FFFFFF"/>
        </w:rPr>
        <w:t>in November 2022.</w:t>
      </w:r>
    </w:p>
    <w:p w14:paraId="37529876" w14:textId="77777777" w:rsidR="009E6285" w:rsidRPr="009E6285" w:rsidRDefault="009E6285" w:rsidP="009E6285">
      <w:pPr>
        <w:pStyle w:val="ListParagraph"/>
        <w:numPr>
          <w:ilvl w:val="0"/>
          <w:numId w:val="0"/>
        </w:numPr>
        <w:ind w:left="360"/>
        <w:rPr>
          <w:rFonts w:cs="Arial"/>
        </w:rPr>
      </w:pPr>
    </w:p>
    <w:p w14:paraId="78C838BF" w14:textId="77777777" w:rsidR="009E6285" w:rsidRDefault="009E6285" w:rsidP="009E6285">
      <w:pPr>
        <w:pStyle w:val="ListParagraph"/>
        <w:numPr>
          <w:ilvl w:val="0"/>
          <w:numId w:val="18"/>
        </w:numPr>
        <w:rPr>
          <w:rFonts w:cs="Arial"/>
        </w:rPr>
      </w:pPr>
      <w:r>
        <w:rPr>
          <w:rFonts w:cs="Arial"/>
        </w:rPr>
        <w:t xml:space="preserve">Applications to be part of this programme were open between January and May 2022. You can read more about the application process </w:t>
      </w:r>
      <w:hyperlink r:id="rId15" w:history="1">
        <w:r w:rsidRPr="009E6285">
          <w:rPr>
            <w:rStyle w:val="Hyperlink"/>
            <w:rFonts w:cs="Arial"/>
          </w:rPr>
          <w:t>here</w:t>
        </w:r>
      </w:hyperlink>
      <w:r>
        <w:rPr>
          <w:rFonts w:cs="Arial"/>
        </w:rPr>
        <w:t>.  Applications were particularly high, with submissions from more than double the number of NPOs that ACE invest in. They</w:t>
      </w:r>
      <w:r w:rsidRPr="009E6285">
        <w:rPr>
          <w:rFonts w:cs="Arial"/>
        </w:rPr>
        <w:t xml:space="preserve"> received a total of 1,730 applications, requesting just over £2 billion over the three-year investment period.</w:t>
      </w:r>
      <w:r>
        <w:rPr>
          <w:rFonts w:cs="Arial"/>
        </w:rPr>
        <w:t xml:space="preserve"> More details about the volume of applications and money distributed are available </w:t>
      </w:r>
      <w:hyperlink r:id="rId16" w:history="1">
        <w:r w:rsidRPr="009E6285">
          <w:rPr>
            <w:rStyle w:val="Hyperlink"/>
            <w:rFonts w:cs="Arial"/>
          </w:rPr>
          <w:t>on the ACE website</w:t>
        </w:r>
      </w:hyperlink>
      <w:r>
        <w:rPr>
          <w:rFonts w:cs="Arial"/>
        </w:rPr>
        <w:t>.</w:t>
      </w:r>
    </w:p>
    <w:p w14:paraId="3435E0A9" w14:textId="77777777" w:rsidR="009E6285" w:rsidRPr="009E6285" w:rsidRDefault="009E6285" w:rsidP="009E6285">
      <w:pPr>
        <w:pStyle w:val="ListParagraph"/>
        <w:numPr>
          <w:ilvl w:val="0"/>
          <w:numId w:val="0"/>
        </w:numPr>
        <w:ind w:left="360"/>
        <w:rPr>
          <w:rFonts w:cs="Arial"/>
        </w:rPr>
      </w:pPr>
    </w:p>
    <w:p w14:paraId="17B0B845" w14:textId="1C54FF99" w:rsidR="00D369FC" w:rsidRDefault="009E6285" w:rsidP="009E6285">
      <w:pPr>
        <w:pStyle w:val="ListParagraph"/>
        <w:numPr>
          <w:ilvl w:val="0"/>
          <w:numId w:val="18"/>
        </w:numPr>
        <w:rPr>
          <w:rFonts w:cs="Arial"/>
        </w:rPr>
      </w:pPr>
      <w:r>
        <w:rPr>
          <w:rFonts w:cs="Arial"/>
        </w:rPr>
        <w:t>E</w:t>
      </w:r>
      <w:r w:rsidR="00D369FC" w:rsidRPr="009E6285">
        <w:rPr>
          <w:rFonts w:cs="Arial"/>
        </w:rPr>
        <w:t xml:space="preserve">ach application </w:t>
      </w:r>
      <w:r>
        <w:rPr>
          <w:rFonts w:cs="Arial"/>
        </w:rPr>
        <w:t xml:space="preserve">was taken </w:t>
      </w:r>
      <w:r w:rsidR="00D369FC" w:rsidRPr="009E6285">
        <w:rPr>
          <w:rFonts w:cs="Arial"/>
        </w:rPr>
        <w:t>on its own merits and</w:t>
      </w:r>
      <w:r>
        <w:rPr>
          <w:rFonts w:cs="Arial"/>
        </w:rPr>
        <w:t xml:space="preserve"> all decisions were taken by ACE, involving a complex</w:t>
      </w:r>
      <w:r w:rsidR="00D369FC" w:rsidRPr="009E6285">
        <w:rPr>
          <w:rFonts w:cs="Arial"/>
        </w:rPr>
        <w:t xml:space="preserve"> balancing process </w:t>
      </w:r>
      <w:r>
        <w:rPr>
          <w:rFonts w:cs="Arial"/>
        </w:rPr>
        <w:t>across</w:t>
      </w:r>
      <w:r w:rsidR="00D369FC" w:rsidRPr="009E6285">
        <w:rPr>
          <w:rFonts w:cs="Arial"/>
        </w:rPr>
        <w:t xml:space="preserve"> region</w:t>
      </w:r>
      <w:r>
        <w:rPr>
          <w:rFonts w:cs="Arial"/>
        </w:rPr>
        <w:t xml:space="preserve"> and art form</w:t>
      </w:r>
      <w:r w:rsidR="00D369FC" w:rsidRPr="009E6285">
        <w:rPr>
          <w:rFonts w:cs="Arial"/>
        </w:rPr>
        <w:t xml:space="preserve">. </w:t>
      </w:r>
    </w:p>
    <w:p w14:paraId="050D5546" w14:textId="77777777" w:rsidR="009E6285" w:rsidRPr="009E6285" w:rsidRDefault="009E6285" w:rsidP="009E6285">
      <w:pPr>
        <w:pStyle w:val="ListParagraph"/>
        <w:numPr>
          <w:ilvl w:val="0"/>
          <w:numId w:val="0"/>
        </w:numPr>
        <w:ind w:left="360"/>
        <w:rPr>
          <w:rFonts w:cs="Arial"/>
        </w:rPr>
      </w:pPr>
    </w:p>
    <w:p w14:paraId="3EFAB01F" w14:textId="390CA0DB" w:rsidR="0087168D" w:rsidRDefault="009E6285" w:rsidP="0087168D">
      <w:pPr>
        <w:pStyle w:val="ListParagraph"/>
        <w:numPr>
          <w:ilvl w:val="0"/>
          <w:numId w:val="18"/>
        </w:numPr>
        <w:rPr>
          <w:rFonts w:cs="Arial"/>
        </w:rPr>
      </w:pPr>
      <w:r>
        <w:rPr>
          <w:rFonts w:cs="Arial"/>
        </w:rPr>
        <w:t xml:space="preserve">Decisions were announced on the </w:t>
      </w:r>
      <w:proofErr w:type="gramStart"/>
      <w:r>
        <w:rPr>
          <w:rFonts w:cs="Arial"/>
        </w:rPr>
        <w:t>4</w:t>
      </w:r>
      <w:r w:rsidRPr="009E6285">
        <w:rPr>
          <w:rFonts w:cs="Arial"/>
          <w:vertAlign w:val="superscript"/>
        </w:rPr>
        <w:t>th</w:t>
      </w:r>
      <w:proofErr w:type="gramEnd"/>
      <w:r>
        <w:rPr>
          <w:rFonts w:cs="Arial"/>
        </w:rPr>
        <w:t xml:space="preserve"> November 2022</w:t>
      </w:r>
      <w:r w:rsidR="0087168D">
        <w:rPr>
          <w:rFonts w:cs="Arial"/>
        </w:rPr>
        <w:t xml:space="preserve">: </w:t>
      </w:r>
    </w:p>
    <w:p w14:paraId="3483B5BF" w14:textId="77777777" w:rsidR="0087168D" w:rsidRPr="0087168D" w:rsidRDefault="0087168D" w:rsidP="0087168D">
      <w:pPr>
        <w:pStyle w:val="ListParagraph"/>
        <w:numPr>
          <w:ilvl w:val="0"/>
          <w:numId w:val="0"/>
        </w:numPr>
        <w:ind w:left="360"/>
        <w:rPr>
          <w:rFonts w:cs="Arial"/>
        </w:rPr>
      </w:pPr>
    </w:p>
    <w:p w14:paraId="2334E6E5" w14:textId="736F368C" w:rsidR="00E638C4" w:rsidRDefault="00E638C4" w:rsidP="00E638C4">
      <w:pPr>
        <w:pStyle w:val="ListParagraph"/>
        <w:numPr>
          <w:ilvl w:val="1"/>
          <w:numId w:val="26"/>
        </w:numPr>
        <w:rPr>
          <w:rFonts w:cs="Arial"/>
        </w:rPr>
      </w:pPr>
      <w:r>
        <w:rPr>
          <w:rFonts w:cs="Arial"/>
        </w:rPr>
        <w:t xml:space="preserve"> </w:t>
      </w:r>
      <w:r w:rsidR="009E6285" w:rsidRPr="00E638C4">
        <w:rPr>
          <w:rFonts w:cs="Arial"/>
        </w:rPr>
        <w:t xml:space="preserve">ACE </w:t>
      </w:r>
      <w:r w:rsidR="0087168D" w:rsidRPr="00E638C4">
        <w:rPr>
          <w:rFonts w:cs="Arial"/>
        </w:rPr>
        <w:t>is</w:t>
      </w:r>
      <w:r w:rsidR="009E6285" w:rsidRPr="00E638C4">
        <w:rPr>
          <w:rFonts w:cs="Arial"/>
        </w:rPr>
        <w:t xml:space="preserve"> investing £446 million each year from 2023 to 2026. That investment will be made in 990 museums, </w:t>
      </w:r>
      <w:proofErr w:type="gramStart"/>
      <w:r w:rsidR="009E6285" w:rsidRPr="00E638C4">
        <w:rPr>
          <w:rFonts w:cs="Arial"/>
        </w:rPr>
        <w:t>libraries</w:t>
      </w:r>
      <w:proofErr w:type="gramEnd"/>
      <w:r w:rsidR="009E6285" w:rsidRPr="00E638C4">
        <w:rPr>
          <w:rFonts w:cs="Arial"/>
        </w:rPr>
        <w:t xml:space="preserve"> and arts organisations across the country. This includes 276 organisations that will be joining the programme. </w:t>
      </w:r>
    </w:p>
    <w:p w14:paraId="17B20CEB" w14:textId="33A59C70" w:rsidR="00E638C4" w:rsidRDefault="00E638C4" w:rsidP="00E638C4">
      <w:pPr>
        <w:pStyle w:val="ListParagraph"/>
        <w:numPr>
          <w:ilvl w:val="1"/>
          <w:numId w:val="26"/>
        </w:numPr>
        <w:rPr>
          <w:rFonts w:cs="Arial"/>
        </w:rPr>
      </w:pPr>
      <w:r>
        <w:rPr>
          <w:rFonts w:cs="Arial"/>
        </w:rPr>
        <w:t xml:space="preserve"> </w:t>
      </w:r>
      <w:r w:rsidR="009E6285" w:rsidRPr="00E638C4">
        <w:rPr>
          <w:rFonts w:cs="Arial"/>
        </w:rPr>
        <w:t>Fun</w:t>
      </w:r>
      <w:r w:rsidR="0087168D" w:rsidRPr="00E638C4">
        <w:rPr>
          <w:rFonts w:cs="Arial"/>
        </w:rPr>
        <w:t>d</w:t>
      </w:r>
      <w:r w:rsidR="009E6285" w:rsidRPr="00E638C4">
        <w:rPr>
          <w:rFonts w:cs="Arial"/>
        </w:rPr>
        <w:t>ing for organisations outside of London is increasing by nearly £45 million each year.</w:t>
      </w:r>
      <w:r w:rsidR="0087168D" w:rsidRPr="00E638C4">
        <w:rPr>
          <w:rFonts w:cs="Arial"/>
        </w:rPr>
        <w:t xml:space="preserve"> </w:t>
      </w:r>
    </w:p>
    <w:p w14:paraId="7DF928B3" w14:textId="1217BC75" w:rsidR="00E638C4" w:rsidRDefault="00E638C4" w:rsidP="00E638C4">
      <w:pPr>
        <w:pStyle w:val="ListParagraph"/>
        <w:numPr>
          <w:ilvl w:val="1"/>
          <w:numId w:val="26"/>
        </w:numPr>
        <w:rPr>
          <w:rFonts w:cs="Arial"/>
        </w:rPr>
      </w:pPr>
      <w:r>
        <w:rPr>
          <w:rFonts w:cs="Arial"/>
        </w:rPr>
        <w:t xml:space="preserve"> </w:t>
      </w:r>
      <w:r w:rsidR="0087168D" w:rsidRPr="00E638C4">
        <w:rPr>
          <w:rFonts w:cs="Arial"/>
        </w:rPr>
        <w:t xml:space="preserve">The Arts Council’s Levelling Up for Culture Places will see a 95 per cent increase in investment, with 78 designated towns and cities to receive £43.5 million annually, for the next three years. </w:t>
      </w:r>
    </w:p>
    <w:p w14:paraId="7C0ACA0E" w14:textId="5A9B4E44" w:rsidR="0087168D" w:rsidRPr="00E638C4" w:rsidRDefault="00E638C4" w:rsidP="00E638C4">
      <w:pPr>
        <w:pStyle w:val="ListParagraph"/>
        <w:numPr>
          <w:ilvl w:val="1"/>
          <w:numId w:val="26"/>
        </w:numPr>
        <w:rPr>
          <w:rFonts w:cs="Arial"/>
        </w:rPr>
      </w:pPr>
      <w:r>
        <w:rPr>
          <w:rFonts w:cs="Arial"/>
        </w:rPr>
        <w:t xml:space="preserve"> </w:t>
      </w:r>
      <w:r w:rsidR="0087168D" w:rsidRPr="00E638C4">
        <w:rPr>
          <w:rFonts w:cs="Arial"/>
        </w:rPr>
        <w:t>There will be a 20 per cent increase in organisations delivering creative and cultural activity for children and young people.</w:t>
      </w:r>
    </w:p>
    <w:p w14:paraId="47693B19" w14:textId="77777777" w:rsidR="00BB2979" w:rsidRDefault="00BB2979" w:rsidP="00BB2979">
      <w:pPr>
        <w:pStyle w:val="ListParagraph"/>
        <w:numPr>
          <w:ilvl w:val="0"/>
          <w:numId w:val="0"/>
        </w:numPr>
        <w:ind w:left="644"/>
        <w:rPr>
          <w:rFonts w:cs="Arial"/>
        </w:rPr>
      </w:pPr>
    </w:p>
    <w:p w14:paraId="03DE5FC9" w14:textId="4090947A" w:rsidR="009E6285" w:rsidRPr="00DB397E" w:rsidRDefault="00BB2979" w:rsidP="00DB397E">
      <w:pPr>
        <w:pStyle w:val="ListParagraph"/>
        <w:numPr>
          <w:ilvl w:val="0"/>
          <w:numId w:val="18"/>
        </w:numPr>
        <w:rPr>
          <w:rFonts w:cs="Arial"/>
        </w:rPr>
      </w:pPr>
      <w:r>
        <w:rPr>
          <w:rFonts w:cs="Arial"/>
        </w:rPr>
        <w:lastRenderedPageBreak/>
        <w:t>Ne</w:t>
      </w:r>
      <w:r w:rsidRPr="00BB2979">
        <w:rPr>
          <w:rFonts w:cs="Arial"/>
        </w:rPr>
        <w:t xml:space="preserve">wcomers </w:t>
      </w:r>
      <w:r>
        <w:rPr>
          <w:rFonts w:cs="Arial"/>
        </w:rPr>
        <w:t>to the portfolio include</w:t>
      </w:r>
      <w:r w:rsidRPr="00BB2979">
        <w:rPr>
          <w:rFonts w:cs="Arial"/>
        </w:rPr>
        <w:t xml:space="preserve"> Blackpool Illuminations (to commission contemporary artists, and support talent development for a network of light festivals and artists across the North); Unlimited in Yorkshire (who commission work by disabled artists including visual arts and theatre); The Postal Museum (which </w:t>
      </w:r>
      <w:r w:rsidR="00DB397E">
        <w:rPr>
          <w:rFonts w:cs="Arial"/>
        </w:rPr>
        <w:t>h</w:t>
      </w:r>
      <w:r w:rsidRPr="00BB2979">
        <w:rPr>
          <w:rFonts w:cs="Arial"/>
        </w:rPr>
        <w:t xml:space="preserve">osts interactive displays including tours of London’s hidden tunnels on the Mail Rail), and </w:t>
      </w:r>
      <w:proofErr w:type="spellStart"/>
      <w:r w:rsidRPr="00BB2979">
        <w:rPr>
          <w:rFonts w:cs="Arial"/>
        </w:rPr>
        <w:t>intoBodmin</w:t>
      </w:r>
      <w:proofErr w:type="spellEnd"/>
      <w:r w:rsidRPr="00BB2979">
        <w:rPr>
          <w:rFonts w:cs="Arial"/>
        </w:rPr>
        <w:t xml:space="preserve"> (a community arts organisation in an old library building in the heart of Cornwall).</w:t>
      </w:r>
    </w:p>
    <w:p w14:paraId="3282999A" w14:textId="77777777" w:rsidR="009E6285" w:rsidRPr="009E6285" w:rsidRDefault="009E6285" w:rsidP="009E6285">
      <w:pPr>
        <w:pStyle w:val="ListParagraph"/>
        <w:numPr>
          <w:ilvl w:val="0"/>
          <w:numId w:val="0"/>
        </w:numPr>
        <w:ind w:left="360"/>
        <w:rPr>
          <w:rFonts w:cs="Arial"/>
        </w:rPr>
      </w:pPr>
    </w:p>
    <w:p w14:paraId="00A623B3" w14:textId="2A946F1A" w:rsidR="00D369FC" w:rsidRPr="00C826DC" w:rsidRDefault="009E6285" w:rsidP="00C826DC">
      <w:pPr>
        <w:pStyle w:val="ListParagraph"/>
        <w:numPr>
          <w:ilvl w:val="0"/>
          <w:numId w:val="18"/>
        </w:numPr>
        <w:rPr>
          <w:rFonts w:cs="Arial"/>
        </w:rPr>
      </w:pPr>
      <w:r>
        <w:rPr>
          <w:rFonts w:cs="Arial"/>
        </w:rPr>
        <w:t xml:space="preserve">Arts Professional magazine has published </w:t>
      </w:r>
      <w:hyperlink r:id="rId17" w:history="1">
        <w:r w:rsidRPr="00C826DC">
          <w:rPr>
            <w:rStyle w:val="Hyperlink"/>
            <w:rFonts w:cs="Arial"/>
          </w:rPr>
          <w:t>detailed analysis</w:t>
        </w:r>
      </w:hyperlink>
      <w:r>
        <w:rPr>
          <w:rFonts w:cs="Arial"/>
        </w:rPr>
        <w:t xml:space="preserve"> of the</w:t>
      </w:r>
      <w:r w:rsidR="0087168D">
        <w:rPr>
          <w:rFonts w:cs="Arial"/>
        </w:rPr>
        <w:t xml:space="preserve"> NPO statistics, including helpful maps of the investment</w:t>
      </w:r>
      <w:r w:rsidR="00C826DC">
        <w:rPr>
          <w:rFonts w:cs="Arial"/>
        </w:rPr>
        <w:t xml:space="preserve"> by local authority area</w:t>
      </w:r>
      <w:r w:rsidR="0087168D" w:rsidRPr="00C826DC">
        <w:rPr>
          <w:rFonts w:cs="Arial"/>
        </w:rPr>
        <w:t xml:space="preserve">. </w:t>
      </w:r>
      <w:r w:rsidR="00D369FC" w:rsidRPr="00C826DC">
        <w:rPr>
          <w:rFonts w:cs="Arial"/>
        </w:rPr>
        <w:t>Some of the areas to benefit are as follows:</w:t>
      </w:r>
    </w:p>
    <w:p w14:paraId="59BF301F" w14:textId="77777777" w:rsidR="0087168D" w:rsidRPr="0087168D" w:rsidRDefault="0087168D" w:rsidP="0087168D">
      <w:pPr>
        <w:pStyle w:val="ListParagraph"/>
        <w:numPr>
          <w:ilvl w:val="0"/>
          <w:numId w:val="0"/>
        </w:numPr>
        <w:ind w:left="360"/>
        <w:rPr>
          <w:rFonts w:cs="Arial"/>
        </w:rPr>
      </w:pPr>
    </w:p>
    <w:p w14:paraId="34FC9E4A" w14:textId="51B7BBDF" w:rsidR="00E638C4" w:rsidRDefault="00E638C4" w:rsidP="00E638C4">
      <w:pPr>
        <w:pStyle w:val="ListParagraph"/>
        <w:numPr>
          <w:ilvl w:val="1"/>
          <w:numId w:val="27"/>
        </w:numPr>
        <w:rPr>
          <w:rFonts w:cs="Arial"/>
        </w:rPr>
      </w:pPr>
      <w:r>
        <w:rPr>
          <w:rFonts w:cs="Arial"/>
        </w:rPr>
        <w:t xml:space="preserve"> </w:t>
      </w:r>
      <w:r w:rsidR="00D369FC" w:rsidRPr="00E638C4">
        <w:rPr>
          <w:rFonts w:cs="Arial"/>
        </w:rPr>
        <w:t>The largest increase will be seen in Croydon, an ACE Priority Place, where investment is increasing from £102,205 in 2018/19 to £1,168,980 in 2023/24. The increase results from the area gaining three new NPOs, with an additional two existing NPOs moving into the area.</w:t>
      </w:r>
    </w:p>
    <w:p w14:paraId="72D0DCE9" w14:textId="5F154A5F" w:rsidR="00E638C4" w:rsidRDefault="00E638C4" w:rsidP="00E638C4">
      <w:pPr>
        <w:pStyle w:val="ListParagraph"/>
        <w:numPr>
          <w:ilvl w:val="1"/>
          <w:numId w:val="27"/>
        </w:numPr>
        <w:rPr>
          <w:rFonts w:cs="Arial"/>
        </w:rPr>
      </w:pPr>
      <w:r>
        <w:rPr>
          <w:rFonts w:cs="Arial"/>
        </w:rPr>
        <w:t xml:space="preserve"> </w:t>
      </w:r>
      <w:r w:rsidR="00D369FC" w:rsidRPr="00E638C4">
        <w:rPr>
          <w:rFonts w:cs="Arial"/>
        </w:rPr>
        <w:t>Wigan is expected to see the second largest increase. An LUCP and Priority Place, investment in the area is increasing from £113,490 to £1,497,278 a year, due to two new NPOs, while one existing NPO now has its base in the area.</w:t>
      </w:r>
    </w:p>
    <w:p w14:paraId="1F155F1D" w14:textId="4ED31679" w:rsidR="00D369FC" w:rsidRPr="00E638C4" w:rsidRDefault="00E638C4" w:rsidP="00E638C4">
      <w:pPr>
        <w:pStyle w:val="ListParagraph"/>
        <w:numPr>
          <w:ilvl w:val="1"/>
          <w:numId w:val="27"/>
        </w:numPr>
        <w:rPr>
          <w:rFonts w:cs="Arial"/>
        </w:rPr>
      </w:pPr>
      <w:r>
        <w:rPr>
          <w:rFonts w:cs="Arial"/>
        </w:rPr>
        <w:t xml:space="preserve"> </w:t>
      </w:r>
      <w:r w:rsidR="00D369FC" w:rsidRPr="00E638C4">
        <w:rPr>
          <w:rFonts w:cs="Arial"/>
        </w:rPr>
        <w:t>North Devon, also an LUCP and Priority Place, received the third largest increase, from £95,894 to £1,254,758 a year, after receiving two new NPOs, one of which (North Devon Theatres) will be receiving £1m per annum.</w:t>
      </w:r>
    </w:p>
    <w:p w14:paraId="32FC480A" w14:textId="77777777" w:rsidR="0087168D" w:rsidRPr="00D369FC" w:rsidRDefault="0087168D" w:rsidP="0087168D">
      <w:pPr>
        <w:pStyle w:val="ListParagraph"/>
        <w:numPr>
          <w:ilvl w:val="0"/>
          <w:numId w:val="0"/>
        </w:numPr>
        <w:ind w:left="720"/>
        <w:rPr>
          <w:rFonts w:cs="Arial"/>
        </w:rPr>
      </w:pPr>
    </w:p>
    <w:p w14:paraId="06064B36" w14:textId="76BD5D79" w:rsidR="0087168D" w:rsidRDefault="00D369FC" w:rsidP="00C826DC">
      <w:pPr>
        <w:pStyle w:val="ListParagraph"/>
        <w:numPr>
          <w:ilvl w:val="0"/>
          <w:numId w:val="18"/>
        </w:numPr>
        <w:rPr>
          <w:rFonts w:cs="Arial"/>
        </w:rPr>
      </w:pPr>
      <w:r w:rsidRPr="0087168D">
        <w:rPr>
          <w:rFonts w:cs="Arial"/>
        </w:rPr>
        <w:t xml:space="preserve">In total, </w:t>
      </w:r>
      <w:r w:rsidRPr="00BA7BA9">
        <w:rPr>
          <w:rFonts w:cs="Arial"/>
          <w:b/>
          <w:bCs/>
        </w:rPr>
        <w:t>42 local authorities are set to see NPO funding in their area more than double</w:t>
      </w:r>
      <w:r w:rsidRPr="0087168D">
        <w:rPr>
          <w:rFonts w:cs="Arial"/>
        </w:rPr>
        <w:t>, with 29 of these located in LUCP and 23 including areas in ACE's Priority Places.</w:t>
      </w:r>
    </w:p>
    <w:p w14:paraId="59B7DEDF" w14:textId="77777777" w:rsidR="00C826DC" w:rsidRPr="00C826DC" w:rsidRDefault="00C826DC" w:rsidP="00C826DC">
      <w:pPr>
        <w:pStyle w:val="ListParagraph"/>
        <w:numPr>
          <w:ilvl w:val="0"/>
          <w:numId w:val="0"/>
        </w:numPr>
        <w:ind w:left="360"/>
        <w:rPr>
          <w:rFonts w:cs="Arial"/>
        </w:rPr>
      </w:pPr>
    </w:p>
    <w:p w14:paraId="2683D324" w14:textId="77777777" w:rsidR="0087168D" w:rsidRPr="0087168D" w:rsidRDefault="00D369FC" w:rsidP="0087168D">
      <w:pPr>
        <w:pStyle w:val="ListParagraph"/>
        <w:numPr>
          <w:ilvl w:val="0"/>
          <w:numId w:val="18"/>
        </w:numPr>
        <w:rPr>
          <w:rFonts w:cs="Arial"/>
        </w:rPr>
      </w:pPr>
      <w:r w:rsidRPr="00073BA5">
        <w:rPr>
          <w:rFonts w:eastAsia="Times New Roman" w:cs="Arial"/>
          <w:b/>
          <w:bCs/>
          <w:color w:val="222222"/>
          <w:lang w:eastAsia="en-GB"/>
        </w:rPr>
        <w:t>41 local authorities represented in the 2023/26 portfolio that were not included in the last round of funding</w:t>
      </w:r>
      <w:r w:rsidR="0087168D">
        <w:rPr>
          <w:rFonts w:eastAsia="Times New Roman" w:cs="Arial"/>
          <w:color w:val="222222"/>
          <w:lang w:eastAsia="en-GB"/>
        </w:rPr>
        <w:t xml:space="preserve">. </w:t>
      </w:r>
      <w:r w:rsidRPr="0087168D">
        <w:rPr>
          <w:rFonts w:eastAsia="Times New Roman" w:cs="Arial"/>
          <w:color w:val="222222"/>
          <w:lang w:eastAsia="en-GB"/>
        </w:rPr>
        <w:t>Around half (21) of these local authorities are listed in ACE’s L</w:t>
      </w:r>
      <w:r w:rsidR="0087168D">
        <w:rPr>
          <w:rFonts w:eastAsia="Times New Roman" w:cs="Arial"/>
          <w:color w:val="222222"/>
          <w:lang w:eastAsia="en-GB"/>
        </w:rPr>
        <w:t>evelling Up for Culture Places</w:t>
      </w:r>
      <w:r w:rsidRPr="0087168D">
        <w:rPr>
          <w:rFonts w:eastAsia="Times New Roman" w:cs="Arial"/>
          <w:color w:val="222222"/>
          <w:lang w:eastAsia="en-GB"/>
        </w:rPr>
        <w:t>, while 15 feature in ACE’s Priority Places.</w:t>
      </w:r>
    </w:p>
    <w:p w14:paraId="2A47C4F3" w14:textId="77777777" w:rsidR="0087168D" w:rsidRPr="0087168D" w:rsidRDefault="0087168D" w:rsidP="0087168D">
      <w:pPr>
        <w:pStyle w:val="ListParagraph"/>
        <w:numPr>
          <w:ilvl w:val="0"/>
          <w:numId w:val="0"/>
        </w:numPr>
        <w:ind w:left="360"/>
        <w:rPr>
          <w:rFonts w:eastAsia="Times New Roman" w:cs="Arial"/>
          <w:color w:val="222222"/>
          <w:lang w:eastAsia="en-GB"/>
        </w:rPr>
      </w:pPr>
    </w:p>
    <w:p w14:paraId="15877673" w14:textId="07F22EC2" w:rsidR="002C4336" w:rsidRPr="00C826DC" w:rsidRDefault="00D369FC" w:rsidP="0087168D">
      <w:pPr>
        <w:pStyle w:val="ListParagraph"/>
        <w:numPr>
          <w:ilvl w:val="0"/>
          <w:numId w:val="18"/>
        </w:numPr>
        <w:rPr>
          <w:rFonts w:cs="Arial"/>
        </w:rPr>
      </w:pPr>
      <w:r w:rsidRPr="0087168D">
        <w:rPr>
          <w:rFonts w:eastAsia="Times New Roman" w:cs="Arial"/>
          <w:color w:val="222222"/>
          <w:lang w:eastAsia="en-GB"/>
        </w:rPr>
        <w:t xml:space="preserve">The majority of bidders in England for the UK City of Culture 2025 title received sizeable uplifts in NPO funding in Arts Council England's (ACE) new national portfolio, </w:t>
      </w:r>
      <w:hyperlink r:id="rId18" w:history="1">
        <w:r w:rsidRPr="00C826DC">
          <w:rPr>
            <w:rStyle w:val="Hyperlink"/>
            <w:rFonts w:eastAsia="Times New Roman" w:cs="Arial"/>
            <w:lang w:eastAsia="en-GB"/>
          </w:rPr>
          <w:t xml:space="preserve">according to </w:t>
        </w:r>
        <w:r w:rsidR="00C826DC" w:rsidRPr="00C826DC">
          <w:rPr>
            <w:rStyle w:val="Hyperlink"/>
            <w:rFonts w:eastAsia="Times New Roman" w:cs="Arial"/>
            <w:lang w:eastAsia="en-GB"/>
          </w:rPr>
          <w:t xml:space="preserve">Arts Professional </w:t>
        </w:r>
        <w:r w:rsidRPr="00C826DC">
          <w:rPr>
            <w:rStyle w:val="Hyperlink"/>
            <w:rFonts w:eastAsia="Times New Roman" w:cs="Arial"/>
            <w:lang w:eastAsia="en-GB"/>
          </w:rPr>
          <w:t>analysis</w:t>
        </w:r>
      </w:hyperlink>
      <w:r w:rsidRPr="0087168D">
        <w:rPr>
          <w:rFonts w:eastAsia="Times New Roman" w:cs="Arial"/>
          <w:color w:val="222222"/>
          <w:lang w:eastAsia="en-GB"/>
        </w:rPr>
        <w:t>.</w:t>
      </w:r>
      <w:r w:rsidR="0087168D">
        <w:rPr>
          <w:rFonts w:eastAsia="Times New Roman" w:cs="Arial"/>
          <w:color w:val="222222"/>
          <w:lang w:eastAsia="en-GB"/>
        </w:rPr>
        <w:t xml:space="preserve"> </w:t>
      </w:r>
      <w:r w:rsidR="00C826DC">
        <w:rPr>
          <w:rFonts w:eastAsia="Times New Roman" w:cs="Arial"/>
          <w:color w:val="222222"/>
          <w:lang w:eastAsia="en-GB"/>
        </w:rPr>
        <w:t>They</w:t>
      </w:r>
      <w:r w:rsidRPr="0087168D">
        <w:rPr>
          <w:rFonts w:eastAsia="Times New Roman" w:cs="Arial"/>
          <w:color w:val="222222"/>
          <w:lang w:eastAsia="en-GB"/>
        </w:rPr>
        <w:t xml:space="preserve"> compared the NPO fun</w:t>
      </w:r>
      <w:r w:rsidR="00C826DC">
        <w:rPr>
          <w:rFonts w:eastAsia="Times New Roman" w:cs="Arial"/>
          <w:color w:val="222222"/>
          <w:lang w:eastAsia="en-GB"/>
        </w:rPr>
        <w:t>ding</w:t>
      </w:r>
      <w:r w:rsidR="003F31FD">
        <w:rPr>
          <w:rFonts w:eastAsia="Times New Roman" w:cs="Arial"/>
          <w:color w:val="222222"/>
          <w:lang w:eastAsia="en-GB"/>
        </w:rPr>
        <w:t xml:space="preserve"> received by</w:t>
      </w:r>
      <w:r w:rsidR="00C826DC">
        <w:rPr>
          <w:rFonts w:eastAsia="Times New Roman" w:cs="Arial"/>
          <w:color w:val="222222"/>
          <w:lang w:eastAsia="en-GB"/>
        </w:rPr>
        <w:t xml:space="preserve"> </w:t>
      </w:r>
      <w:r w:rsidRPr="0087168D">
        <w:rPr>
          <w:rFonts w:eastAsia="Times New Roman" w:cs="Arial"/>
          <w:color w:val="222222"/>
          <w:lang w:eastAsia="en-GB"/>
        </w:rPr>
        <w:t>eight</w:t>
      </w:r>
      <w:r w:rsidR="003F31FD">
        <w:rPr>
          <w:rFonts w:eastAsia="Times New Roman" w:cs="Arial"/>
          <w:color w:val="222222"/>
          <w:lang w:eastAsia="en-GB"/>
        </w:rPr>
        <w:t xml:space="preserve"> </w:t>
      </w:r>
      <w:r w:rsidRPr="0087168D">
        <w:rPr>
          <w:rFonts w:eastAsia="Times New Roman" w:cs="Arial"/>
          <w:color w:val="222222"/>
          <w:lang w:eastAsia="en-GB"/>
        </w:rPr>
        <w:t>areas of England that applied to be the next City of Culture</w:t>
      </w:r>
      <w:r w:rsidR="003F31FD" w:rsidRPr="0087168D">
        <w:rPr>
          <w:rFonts w:eastAsia="Times New Roman" w:cs="Arial"/>
          <w:color w:val="222222"/>
          <w:lang w:eastAsia="en-GB"/>
        </w:rPr>
        <w:t xml:space="preserve"> in 2021/22</w:t>
      </w:r>
      <w:r w:rsidRPr="0087168D">
        <w:rPr>
          <w:rFonts w:eastAsia="Times New Roman" w:cs="Arial"/>
          <w:color w:val="222222"/>
          <w:lang w:eastAsia="en-GB"/>
        </w:rPr>
        <w:t xml:space="preserve"> </w:t>
      </w:r>
      <w:r w:rsidR="003F31FD">
        <w:rPr>
          <w:rFonts w:eastAsia="Times New Roman" w:cs="Arial"/>
          <w:color w:val="222222"/>
          <w:lang w:eastAsia="en-GB"/>
        </w:rPr>
        <w:t>(</w:t>
      </w:r>
      <w:r w:rsidRPr="0087168D">
        <w:rPr>
          <w:rFonts w:eastAsia="Times New Roman" w:cs="Arial"/>
          <w:color w:val="222222"/>
          <w:lang w:eastAsia="en-GB"/>
        </w:rPr>
        <w:t xml:space="preserve">Bradford, Cornwall, County Durham, Derby, Medway, Southampton, </w:t>
      </w:r>
      <w:proofErr w:type="gramStart"/>
      <w:r w:rsidRPr="0087168D">
        <w:rPr>
          <w:rFonts w:eastAsia="Times New Roman" w:cs="Arial"/>
          <w:color w:val="222222"/>
          <w:lang w:eastAsia="en-GB"/>
        </w:rPr>
        <w:t>Wakefield</w:t>
      </w:r>
      <w:proofErr w:type="gramEnd"/>
      <w:r w:rsidRPr="0087168D">
        <w:rPr>
          <w:rFonts w:eastAsia="Times New Roman" w:cs="Arial"/>
          <w:color w:val="222222"/>
          <w:lang w:eastAsia="en-GB"/>
        </w:rPr>
        <w:t xml:space="preserve"> and Wolverhampton</w:t>
      </w:r>
      <w:r w:rsidR="003F31FD">
        <w:rPr>
          <w:rFonts w:eastAsia="Times New Roman" w:cs="Arial"/>
          <w:color w:val="222222"/>
          <w:lang w:eastAsia="en-GB"/>
        </w:rPr>
        <w:t>) with</w:t>
      </w:r>
      <w:r w:rsidRPr="0087168D">
        <w:rPr>
          <w:rFonts w:eastAsia="Times New Roman" w:cs="Arial"/>
          <w:color w:val="222222"/>
          <w:lang w:eastAsia="en-GB"/>
        </w:rPr>
        <w:t xml:space="preserve"> what they are set to receive in 2023/24.</w:t>
      </w:r>
      <w:r w:rsidR="0087168D">
        <w:rPr>
          <w:rFonts w:eastAsia="Times New Roman" w:cs="Arial"/>
          <w:color w:val="222222"/>
          <w:lang w:eastAsia="en-GB"/>
        </w:rPr>
        <w:t xml:space="preserve"> Their </w:t>
      </w:r>
      <w:r w:rsidRPr="0087168D">
        <w:rPr>
          <w:rFonts w:eastAsia="Times New Roman" w:cs="Arial"/>
          <w:color w:val="222222"/>
          <w:lang w:eastAsia="en-GB"/>
        </w:rPr>
        <w:t>analysis found seven of the eight areas will see their funding increase, while all have at least new one organisation based in their area joining the portfolio.</w:t>
      </w:r>
    </w:p>
    <w:p w14:paraId="71881318" w14:textId="77777777" w:rsidR="00C826DC" w:rsidRPr="00C826DC" w:rsidRDefault="00C826DC" w:rsidP="00C826DC">
      <w:pPr>
        <w:pStyle w:val="ListParagraph"/>
        <w:numPr>
          <w:ilvl w:val="0"/>
          <w:numId w:val="0"/>
        </w:numPr>
        <w:ind w:left="360"/>
        <w:rPr>
          <w:rFonts w:cs="Arial"/>
        </w:rPr>
      </w:pPr>
    </w:p>
    <w:p w14:paraId="2289F5AC" w14:textId="77777777" w:rsidR="008171B5" w:rsidRPr="008171B5" w:rsidRDefault="00C826DC" w:rsidP="00C826DC">
      <w:pPr>
        <w:pStyle w:val="ListParagraph"/>
        <w:numPr>
          <w:ilvl w:val="0"/>
          <w:numId w:val="18"/>
        </w:numPr>
        <w:rPr>
          <w:rFonts w:cs="Arial"/>
        </w:rPr>
      </w:pPr>
      <w:r>
        <w:rPr>
          <w:rFonts w:cs="Arial"/>
        </w:rPr>
        <w:t xml:space="preserve">Arts Professional has also highlighted the </w:t>
      </w:r>
      <w:hyperlink r:id="rId19" w:history="1">
        <w:r w:rsidRPr="00C826DC">
          <w:rPr>
            <w:rStyle w:val="Hyperlink"/>
            <w:rFonts w:cs="Arial"/>
          </w:rPr>
          <w:t>regional implications</w:t>
        </w:r>
      </w:hyperlink>
      <w:r>
        <w:rPr>
          <w:rFonts w:cs="Arial"/>
        </w:rPr>
        <w:t xml:space="preserve"> for the new funding round. M</w:t>
      </w:r>
      <w:r w:rsidRPr="0087168D">
        <w:rPr>
          <w:rFonts w:cs="Arial"/>
          <w:color w:val="222222"/>
        </w:rPr>
        <w:t xml:space="preserve">ore money is still ring-fenced for the capital than anywhere else in the country, </w:t>
      </w:r>
      <w:r w:rsidRPr="003F31FD">
        <w:rPr>
          <w:rFonts w:cs="Arial"/>
          <w:color w:val="222222"/>
        </w:rPr>
        <w:t>equating to around a third of the total portfolio</w:t>
      </w:r>
      <w:r w:rsidRPr="0087168D">
        <w:rPr>
          <w:rFonts w:cs="Arial"/>
          <w:color w:val="222222"/>
        </w:rPr>
        <w:t xml:space="preserve">. </w:t>
      </w:r>
      <w:r>
        <w:rPr>
          <w:rFonts w:cs="Arial"/>
          <w:color w:val="222222"/>
        </w:rPr>
        <w:t xml:space="preserve">However, </w:t>
      </w:r>
      <w:r w:rsidRPr="00C826DC">
        <w:rPr>
          <w:rFonts w:cs="Arial"/>
          <w:color w:val="222222"/>
        </w:rPr>
        <w:t>for the first time, the North of England is set to become the region with the most NPOs.</w:t>
      </w:r>
      <w:r>
        <w:rPr>
          <w:rFonts w:cs="Arial"/>
          <w:color w:val="222222"/>
        </w:rPr>
        <w:t xml:space="preserve"> </w:t>
      </w:r>
    </w:p>
    <w:p w14:paraId="21A2988F" w14:textId="77777777" w:rsidR="008171B5" w:rsidRPr="008171B5" w:rsidRDefault="008171B5" w:rsidP="008171B5">
      <w:pPr>
        <w:pStyle w:val="ListParagraph"/>
        <w:numPr>
          <w:ilvl w:val="0"/>
          <w:numId w:val="0"/>
        </w:numPr>
        <w:ind w:left="360"/>
        <w:rPr>
          <w:rFonts w:cs="Arial"/>
          <w:color w:val="222222"/>
        </w:rPr>
      </w:pPr>
    </w:p>
    <w:p w14:paraId="4086FD64" w14:textId="6CDF8701" w:rsidR="00C826DC" w:rsidRPr="008171B5" w:rsidRDefault="008171B5" w:rsidP="008171B5">
      <w:pPr>
        <w:pStyle w:val="ListParagraph"/>
        <w:numPr>
          <w:ilvl w:val="0"/>
          <w:numId w:val="18"/>
        </w:numPr>
        <w:rPr>
          <w:rFonts w:cs="Arial"/>
        </w:rPr>
      </w:pPr>
      <w:r>
        <w:rPr>
          <w:rFonts w:cs="Arial"/>
          <w:color w:val="222222"/>
        </w:rPr>
        <w:lastRenderedPageBreak/>
        <w:t xml:space="preserve">The number of </w:t>
      </w:r>
      <w:r w:rsidR="00C826DC" w:rsidRPr="00C826DC">
        <w:rPr>
          <w:rFonts w:cs="Arial"/>
          <w:color w:val="222222"/>
        </w:rPr>
        <w:t>NPOs increase</w:t>
      </w:r>
      <w:r>
        <w:rPr>
          <w:rFonts w:cs="Arial"/>
          <w:color w:val="222222"/>
        </w:rPr>
        <w:t>s</w:t>
      </w:r>
      <w:r w:rsidR="00C826DC" w:rsidRPr="00C826DC">
        <w:rPr>
          <w:rFonts w:cs="Arial"/>
          <w:color w:val="222222"/>
        </w:rPr>
        <w:t xml:space="preserve"> in all regions outside the capital.</w:t>
      </w:r>
    </w:p>
    <w:p w14:paraId="179C810D" w14:textId="77777777" w:rsidR="0006555A" w:rsidRDefault="00C93D4F" w:rsidP="0006555A">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0296C4F1" w14:textId="41552C79" w:rsidR="0006773C" w:rsidRDefault="00FA4D7B" w:rsidP="00474EAF">
      <w:pPr>
        <w:pStyle w:val="ListParagraph"/>
      </w:pPr>
      <w:r>
        <w:t>Arts Council England does not fund organisations in Wales as culture is a devolved matter.</w:t>
      </w:r>
    </w:p>
    <w:p w14:paraId="421ED948" w14:textId="711D0D5E" w:rsidR="00970982" w:rsidRPr="0006555A" w:rsidRDefault="00970982" w:rsidP="0006773C">
      <w:pPr>
        <w:ind w:left="0" w:firstLine="0"/>
        <w:rPr>
          <w:rStyle w:val="ReportTemplate"/>
        </w:rPr>
      </w:pPr>
      <w:r w:rsidRPr="0006773C">
        <w:rPr>
          <w:rStyle w:val="ReportTemplate"/>
          <w:b/>
          <w:bCs/>
        </w:rPr>
        <w:t xml:space="preserve">Implications for inclusion, </w:t>
      </w:r>
      <w:proofErr w:type="gramStart"/>
      <w:r w:rsidRPr="0006773C">
        <w:rPr>
          <w:rStyle w:val="ReportTemplate"/>
          <w:b/>
          <w:bCs/>
        </w:rPr>
        <w:t>diversity</w:t>
      </w:r>
      <w:proofErr w:type="gramEnd"/>
      <w:r w:rsidRPr="0006773C">
        <w:rPr>
          <w:rStyle w:val="ReportTemplate"/>
          <w:b/>
          <w:bCs/>
        </w:rPr>
        <w:t xml:space="preserve"> and equality</w:t>
      </w:r>
    </w:p>
    <w:p w14:paraId="64E331F3" w14:textId="5B6195E8" w:rsidR="00B51041" w:rsidRPr="002C4336" w:rsidRDefault="00C826DC" w:rsidP="002C4336">
      <w:pPr>
        <w:pStyle w:val="ListParagraph"/>
        <w:rPr>
          <w:rStyle w:val="Title2"/>
          <w:b w:val="0"/>
          <w:sz w:val="22"/>
        </w:rPr>
      </w:pPr>
      <w:r>
        <w:rPr>
          <w:rStyle w:val="Title2"/>
          <w:b w:val="0"/>
          <w:sz w:val="22"/>
        </w:rPr>
        <w:t xml:space="preserve">‘Inclusivity and Relevance’ is one of ACE’s four ‘Investment Principles’ and they provide regular reporting on the </w:t>
      </w:r>
      <w:hyperlink r:id="rId20" w:history="1">
        <w:r w:rsidRPr="00C826DC">
          <w:rPr>
            <w:rStyle w:val="Hyperlink"/>
          </w:rPr>
          <w:t>diversity and inclusion implications</w:t>
        </w:r>
      </w:hyperlink>
      <w:r>
        <w:rPr>
          <w:rStyle w:val="Title2"/>
          <w:b w:val="0"/>
          <w:sz w:val="22"/>
        </w:rPr>
        <w:t xml:space="preserve"> of their work. Their </w:t>
      </w:r>
      <w:hyperlink r:id="rId21" w:history="1">
        <w:r w:rsidRPr="00C826DC">
          <w:rPr>
            <w:rStyle w:val="Hyperlink"/>
          </w:rPr>
          <w:t>latest report</w:t>
        </w:r>
      </w:hyperlink>
      <w:r>
        <w:rPr>
          <w:rStyle w:val="Title2"/>
          <w:b w:val="0"/>
          <w:sz w:val="22"/>
        </w:rPr>
        <w:t xml:space="preserve"> was published in July 2022.</w:t>
      </w:r>
    </w:p>
    <w:p w14:paraId="0883605D" w14:textId="77777777" w:rsidR="009B6F95" w:rsidRPr="009B1AA8" w:rsidRDefault="00C93D4F"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1795D8B1" w:rsidR="009B6F95" w:rsidRPr="00410CB4" w:rsidRDefault="002C4336" w:rsidP="000F69FB">
      <w:pPr>
        <w:pStyle w:val="ListParagraph"/>
        <w:rPr>
          <w:rStyle w:val="Title2"/>
          <w:b w:val="0"/>
          <w:bCs/>
          <w:sz w:val="22"/>
        </w:rPr>
      </w:pPr>
      <w:r>
        <w:rPr>
          <w:rStyle w:val="Title2"/>
          <w:b w:val="0"/>
          <w:bCs/>
          <w:sz w:val="22"/>
        </w:rPr>
        <w:t>None</w:t>
      </w:r>
    </w:p>
    <w:p w14:paraId="5B106142" w14:textId="1E90B326" w:rsidR="002D2092" w:rsidRPr="002C4336" w:rsidRDefault="00C93D4F" w:rsidP="002C4336">
      <w:pPr>
        <w:pStyle w:val="paragraph"/>
        <w:spacing w:before="0" w:beforeAutospacing="0" w:after="0" w:afterAutospacing="0"/>
        <w:textAlignment w:val="baseline"/>
        <w:rPr>
          <w:rFonts w:ascii="Arial" w:hAnsi="Arial" w:cs="Arial"/>
          <w:sz w:val="22"/>
          <w:szCs w:val="22"/>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r w:rsidR="002C4336">
        <w:rPr>
          <w:rStyle w:val="Style6"/>
        </w:rPr>
        <w:t xml:space="preserve">: </w:t>
      </w:r>
      <w:r w:rsidR="002C4336">
        <w:rPr>
          <w:rStyle w:val="normaltextrun"/>
          <w:rFonts w:ascii="Arial" w:hAnsi="Arial" w:cs="Arial"/>
          <w:b/>
          <w:bCs/>
          <w:sz w:val="22"/>
          <w:szCs w:val="22"/>
        </w:rPr>
        <w:t>Shared Statement of Purpose</w:t>
      </w:r>
    </w:p>
    <w:p w14:paraId="48510AD3" w14:textId="77777777" w:rsidR="002D2092" w:rsidRDefault="002D2092" w:rsidP="00B51041">
      <w:pPr>
        <w:pStyle w:val="paragraph"/>
        <w:spacing w:before="0" w:beforeAutospacing="0" w:after="0" w:afterAutospacing="0"/>
        <w:textAlignment w:val="baseline"/>
        <w:rPr>
          <w:rFonts w:ascii="Arial" w:hAnsi="Arial" w:cs="Arial"/>
          <w:bCs/>
          <w:sz w:val="22"/>
          <w:szCs w:val="22"/>
        </w:rPr>
      </w:pPr>
    </w:p>
    <w:p w14:paraId="0AC36191" w14:textId="04829C65" w:rsidR="008171B5" w:rsidRDefault="008171B5" w:rsidP="008171B5">
      <w:pPr>
        <w:pStyle w:val="ListParagraph"/>
      </w:pPr>
      <w:r>
        <w:t>The LGA and Arts Council England jointly signed a Shared Statement of Purpose in 2016, which set out:</w:t>
      </w:r>
    </w:p>
    <w:p w14:paraId="21B68252" w14:textId="77777777" w:rsidR="008171B5" w:rsidRDefault="008171B5" w:rsidP="008171B5">
      <w:pPr>
        <w:pStyle w:val="ListParagraph"/>
        <w:numPr>
          <w:ilvl w:val="0"/>
          <w:numId w:val="0"/>
        </w:numPr>
        <w:ind w:left="360"/>
      </w:pPr>
    </w:p>
    <w:p w14:paraId="1E357EF5" w14:textId="6682F100" w:rsidR="008171B5" w:rsidRDefault="008171B5" w:rsidP="008171B5">
      <w:pPr>
        <w:pStyle w:val="ListParagraph"/>
        <w:numPr>
          <w:ilvl w:val="1"/>
          <w:numId w:val="2"/>
        </w:numPr>
      </w:pPr>
      <w:r>
        <w:t>Our shared partnership – how our partnership adds value to councils.</w:t>
      </w:r>
    </w:p>
    <w:p w14:paraId="0B2D992D" w14:textId="77777777" w:rsidR="008171B5" w:rsidRDefault="008171B5" w:rsidP="008171B5">
      <w:pPr>
        <w:pStyle w:val="ListParagraph"/>
        <w:numPr>
          <w:ilvl w:val="1"/>
          <w:numId w:val="2"/>
        </w:numPr>
      </w:pPr>
      <w:r>
        <w:t>Our shared ambition – how the agreement helps to achieve our respective corporate priories.</w:t>
      </w:r>
    </w:p>
    <w:p w14:paraId="107480C0" w14:textId="77777777" w:rsidR="008171B5" w:rsidRDefault="008171B5" w:rsidP="008171B5">
      <w:pPr>
        <w:pStyle w:val="ListParagraph"/>
        <w:numPr>
          <w:ilvl w:val="1"/>
          <w:numId w:val="2"/>
        </w:numPr>
      </w:pPr>
      <w:r>
        <w:t>The context within which we are operating – the key economic and political trends that are shaping our partnership and how we support councils.</w:t>
      </w:r>
    </w:p>
    <w:p w14:paraId="3AB5AB8C" w14:textId="05B51F0A" w:rsidR="008171B5" w:rsidRDefault="008171B5" w:rsidP="008171B5">
      <w:pPr>
        <w:pStyle w:val="ListParagraph"/>
        <w:numPr>
          <w:ilvl w:val="1"/>
          <w:numId w:val="2"/>
        </w:numPr>
      </w:pPr>
      <w:r>
        <w:t xml:space="preserve">How we will work together – a set of shared principles that cover a </w:t>
      </w:r>
      <w:proofErr w:type="gramStart"/>
      <w:r>
        <w:t>place based</w:t>
      </w:r>
      <w:proofErr w:type="gramEnd"/>
      <w:r>
        <w:t xml:space="preserve"> approach, funding, leadership and support.</w:t>
      </w:r>
    </w:p>
    <w:p w14:paraId="6D59D232" w14:textId="3094E95D" w:rsidR="008171B5" w:rsidRDefault="008171B5" w:rsidP="008171B5">
      <w:pPr>
        <w:pStyle w:val="ListParagraph"/>
        <w:numPr>
          <w:ilvl w:val="1"/>
          <w:numId w:val="2"/>
        </w:numPr>
      </w:pPr>
      <w:r>
        <w:t>What we will do and actions – how we will monitor and keep the agreement relevant, and a summary of our 2016/17 joint improvement offer for councils</w:t>
      </w:r>
    </w:p>
    <w:p w14:paraId="5BC9687B" w14:textId="77777777" w:rsidR="008171B5" w:rsidRDefault="008171B5" w:rsidP="008171B5">
      <w:pPr>
        <w:pStyle w:val="ListParagraph"/>
        <w:numPr>
          <w:ilvl w:val="0"/>
          <w:numId w:val="0"/>
        </w:numPr>
        <w:ind w:left="792"/>
      </w:pPr>
    </w:p>
    <w:p w14:paraId="126AB156" w14:textId="5E6C93E4" w:rsidR="008171B5" w:rsidRDefault="008171B5" w:rsidP="008171B5">
      <w:pPr>
        <w:pStyle w:val="ListParagraph"/>
      </w:pPr>
      <w:r>
        <w:t xml:space="preserve">This statement was due for renewal in 2020. Because of the context of COVID-19, we instead jointly signed a </w:t>
      </w:r>
      <w:hyperlink r:id="rId22" w:history="1">
        <w:r w:rsidRPr="008171B5">
          <w:rPr>
            <w:rStyle w:val="Hyperlink"/>
          </w:rPr>
          <w:t>joint statement of response to the pandemic</w:t>
        </w:r>
      </w:hyperlink>
      <w:r>
        <w:t xml:space="preserve"> between Arts Council England and local authority partners.</w:t>
      </w:r>
    </w:p>
    <w:p w14:paraId="067268D3" w14:textId="77777777" w:rsidR="008171B5" w:rsidRDefault="008171B5" w:rsidP="008171B5">
      <w:pPr>
        <w:pStyle w:val="ListParagraph"/>
        <w:numPr>
          <w:ilvl w:val="0"/>
          <w:numId w:val="0"/>
        </w:numPr>
        <w:ind w:left="360"/>
      </w:pPr>
    </w:p>
    <w:p w14:paraId="53788450" w14:textId="64976D56" w:rsidR="008171B5" w:rsidRDefault="008171B5" w:rsidP="008171B5">
      <w:pPr>
        <w:pStyle w:val="ListParagraph"/>
      </w:pPr>
      <w:r>
        <w:t xml:space="preserve">We are now developing a more detailed shared statement to set out our plans for collaboration over the next three years and will be bringing this back to the Board later in the year. </w:t>
      </w:r>
    </w:p>
    <w:sectPr w:rsidR="008171B5" w:rsidSect="00F251A2">
      <w:headerReference w:type="default" r:id="rId23"/>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3511" w14:textId="77777777" w:rsidR="006178DE" w:rsidRPr="00C803F3" w:rsidRDefault="006178DE" w:rsidP="00C803F3">
      <w:r>
        <w:separator/>
      </w:r>
    </w:p>
  </w:endnote>
  <w:endnote w:type="continuationSeparator" w:id="0">
    <w:p w14:paraId="0E1628C0" w14:textId="77777777" w:rsidR="006178DE" w:rsidRPr="00C803F3" w:rsidRDefault="006178DE" w:rsidP="00C803F3">
      <w:r>
        <w:continuationSeparator/>
      </w:r>
    </w:p>
  </w:endnote>
  <w:endnote w:type="continuationNotice" w:id="1">
    <w:p w14:paraId="66AA817A" w14:textId="77777777" w:rsidR="006178DE" w:rsidRDefault="00617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71611"/>
      <w:docPartObj>
        <w:docPartGallery w:val="Page Numbers (Bottom of Page)"/>
        <w:docPartUnique/>
      </w:docPartObj>
    </w:sdtPr>
    <w:sdtEndPr>
      <w:rPr>
        <w:noProof/>
      </w:rPr>
    </w:sdtEndPr>
    <w:sdtContent>
      <w:p w14:paraId="32831647" w14:textId="46AB46F3" w:rsidR="00D56BD3" w:rsidRDefault="00D56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CB1A" w14:textId="77777777" w:rsidR="006178DE" w:rsidRPr="00C803F3" w:rsidRDefault="006178DE" w:rsidP="00C803F3">
      <w:r>
        <w:separator/>
      </w:r>
    </w:p>
  </w:footnote>
  <w:footnote w:type="continuationSeparator" w:id="0">
    <w:p w14:paraId="2A1896AD" w14:textId="77777777" w:rsidR="006178DE" w:rsidRPr="00C803F3" w:rsidRDefault="006178DE" w:rsidP="00C803F3">
      <w:r>
        <w:continuationSeparator/>
      </w:r>
    </w:p>
  </w:footnote>
  <w:footnote w:type="continuationNotice" w:id="1">
    <w:p w14:paraId="57C9A451" w14:textId="77777777" w:rsidR="006178DE" w:rsidRDefault="00617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6F6A9513" w:rsidR="000F69FB" w:rsidRPr="00C803F3" w:rsidRDefault="004E794E" w:rsidP="004D3DC0">
              <w:r>
                <w:t>CTS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3-02-01T00:00:00Z">
              <w:dateFormat w:val="dd MMMM yyyy"/>
              <w:lid w:val="en-GB"/>
              <w:storeMappedDataAs w:val="dateTime"/>
              <w:calendar w:val="gregorian"/>
            </w:date>
          </w:sdtPr>
          <w:sdtEndPr/>
          <w:sdtContent>
            <w:p w14:paraId="361A2D32" w14:textId="75AD4C8A" w:rsidR="000F69FB" w:rsidRPr="00C803F3" w:rsidRDefault="002C4336" w:rsidP="00C803F3">
              <w:r>
                <w:t>01 February 2023</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77777777" w:rsidR="000F69FB" w:rsidRPr="00C803F3" w:rsidRDefault="000F69FB" w:rsidP="00C803F3">
              <w:r w:rsidRPr="00C803F3">
                <w:t>Item no.</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05A"/>
    <w:multiLevelType w:val="multilevel"/>
    <w:tmpl w:val="5D38C478"/>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52ECC"/>
    <w:multiLevelType w:val="hybridMultilevel"/>
    <w:tmpl w:val="EA18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F09CD"/>
    <w:multiLevelType w:val="multilevel"/>
    <w:tmpl w:val="3D30E924"/>
    <w:lvl w:ilvl="0">
      <w:start w:val="1"/>
      <w:numFmt w:val="bullet"/>
      <w:lvlText w:val=""/>
      <w:lvlJc w:val="left"/>
      <w:pPr>
        <w:ind w:left="720" w:hanging="360"/>
      </w:pPr>
      <w:rPr>
        <w:rFonts w:ascii="Symbol" w:hAnsi="Symbol" w:hint="default"/>
        <w:b w:val="0"/>
        <w:bCs w:val="0"/>
      </w:rPr>
    </w:lvl>
    <w:lvl w:ilvl="1">
      <w:start w:val="1"/>
      <w:numFmt w:val="decimal"/>
      <w:lvlText w:val="%1.%2."/>
      <w:lvlJc w:val="left"/>
      <w:pPr>
        <w:ind w:left="1785"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96B5D11"/>
    <w:multiLevelType w:val="hybridMultilevel"/>
    <w:tmpl w:val="35543942"/>
    <w:lvl w:ilvl="0" w:tplc="FFFFFFFF">
      <w:start w:val="1"/>
      <w:numFmt w:val="decimal"/>
      <w:lvlText w:val="%1."/>
      <w:lvlJc w:val="left"/>
      <w:pPr>
        <w:ind w:left="360" w:hanging="360"/>
      </w:pPr>
      <w:rPr>
        <w:rFonts w:hint="default"/>
      </w:rPr>
    </w:lvl>
    <w:lvl w:ilvl="1" w:tplc="08090001">
      <w:start w:val="1"/>
      <w:numFmt w:val="bullet"/>
      <w:lvlText w:val=""/>
      <w:lvlJc w:val="left"/>
      <w:pPr>
        <w:ind w:left="644"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803C22"/>
    <w:multiLevelType w:val="multilevel"/>
    <w:tmpl w:val="6D6A1CA2"/>
    <w:lvl w:ilvl="0">
      <w:start w:val="18"/>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6D6A1CA2"/>
    <w:lvl w:ilvl="0">
      <w:start w:val="18"/>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C013E"/>
    <w:multiLevelType w:val="hybridMultilevel"/>
    <w:tmpl w:val="8A36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5E33"/>
    <w:multiLevelType w:val="multilevel"/>
    <w:tmpl w:val="123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E000E"/>
    <w:multiLevelType w:val="multilevel"/>
    <w:tmpl w:val="727EBDF8"/>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060F9"/>
    <w:multiLevelType w:val="hybridMultilevel"/>
    <w:tmpl w:val="0858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5F5877"/>
    <w:multiLevelType w:val="hybridMultilevel"/>
    <w:tmpl w:val="0FB8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01201F"/>
    <w:multiLevelType w:val="hybridMultilevel"/>
    <w:tmpl w:val="DD6C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B798F"/>
    <w:multiLevelType w:val="multilevel"/>
    <w:tmpl w:val="48E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83961"/>
    <w:multiLevelType w:val="hybridMultilevel"/>
    <w:tmpl w:val="CA0A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C090D"/>
    <w:multiLevelType w:val="hybridMultilevel"/>
    <w:tmpl w:val="D6089748"/>
    <w:lvl w:ilvl="0" w:tplc="FFFFFFF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B685E43"/>
    <w:multiLevelType w:val="multilevel"/>
    <w:tmpl w:val="D5A6E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20" w15:restartNumberingAfterBreak="0">
    <w:nsid w:val="65652CD8"/>
    <w:multiLevelType w:val="hybridMultilevel"/>
    <w:tmpl w:val="4F9A4800"/>
    <w:lvl w:ilvl="0" w:tplc="08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5F11040"/>
    <w:multiLevelType w:val="hybridMultilevel"/>
    <w:tmpl w:val="06207C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872689"/>
    <w:multiLevelType w:val="multilevel"/>
    <w:tmpl w:val="0D6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563D8"/>
    <w:multiLevelType w:val="multilevel"/>
    <w:tmpl w:val="07B06B4E"/>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644"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7019415D"/>
    <w:multiLevelType w:val="multilevel"/>
    <w:tmpl w:val="8FD08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C570A8"/>
    <w:multiLevelType w:val="multilevel"/>
    <w:tmpl w:val="23FA897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2B4D3E"/>
    <w:multiLevelType w:val="multilevel"/>
    <w:tmpl w:val="0520E1A2"/>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854746">
    <w:abstractNumId w:val="19"/>
  </w:num>
  <w:num w:numId="2" w16cid:durableId="965700700">
    <w:abstractNumId w:val="6"/>
  </w:num>
  <w:num w:numId="3" w16cid:durableId="979652833">
    <w:abstractNumId w:val="5"/>
  </w:num>
  <w:num w:numId="4" w16cid:durableId="2106488716">
    <w:abstractNumId w:val="7"/>
  </w:num>
  <w:num w:numId="5" w16cid:durableId="1786098">
    <w:abstractNumId w:val="16"/>
  </w:num>
  <w:num w:numId="6" w16cid:durableId="236982832">
    <w:abstractNumId w:val="22"/>
  </w:num>
  <w:num w:numId="7" w16cid:durableId="1889293601">
    <w:abstractNumId w:val="25"/>
  </w:num>
  <w:num w:numId="8" w16cid:durableId="1666006650">
    <w:abstractNumId w:val="26"/>
  </w:num>
  <w:num w:numId="9" w16cid:durableId="518398948">
    <w:abstractNumId w:val="23"/>
  </w:num>
  <w:num w:numId="10" w16cid:durableId="1248342094">
    <w:abstractNumId w:val="15"/>
  </w:num>
  <w:num w:numId="11" w16cid:durableId="1161888426">
    <w:abstractNumId w:val="1"/>
  </w:num>
  <w:num w:numId="12" w16cid:durableId="503859027">
    <w:abstractNumId w:val="13"/>
  </w:num>
  <w:num w:numId="13" w16cid:durableId="1567569186">
    <w:abstractNumId w:val="24"/>
  </w:num>
  <w:num w:numId="14" w16cid:durableId="527643846">
    <w:abstractNumId w:val="2"/>
  </w:num>
  <w:num w:numId="15" w16cid:durableId="1918973340">
    <w:abstractNumId w:val="11"/>
  </w:num>
  <w:num w:numId="16" w16cid:durableId="1786188834">
    <w:abstractNumId w:val="20"/>
  </w:num>
  <w:num w:numId="17" w16cid:durableId="2024817387">
    <w:abstractNumId w:val="12"/>
  </w:num>
  <w:num w:numId="18" w16cid:durableId="1070074679">
    <w:abstractNumId w:val="21"/>
  </w:num>
  <w:num w:numId="19" w16cid:durableId="2116366214">
    <w:abstractNumId w:val="9"/>
  </w:num>
  <w:num w:numId="20" w16cid:durableId="1998266831">
    <w:abstractNumId w:val="14"/>
  </w:num>
  <w:num w:numId="21" w16cid:durableId="747577421">
    <w:abstractNumId w:val="8"/>
  </w:num>
  <w:num w:numId="22" w16cid:durableId="1615095310">
    <w:abstractNumId w:val="17"/>
  </w:num>
  <w:num w:numId="23" w16cid:durableId="260838349">
    <w:abstractNumId w:val="3"/>
  </w:num>
  <w:num w:numId="24" w16cid:durableId="1861771406">
    <w:abstractNumId w:val="4"/>
  </w:num>
  <w:num w:numId="25" w16cid:durableId="745567097">
    <w:abstractNumId w:val="18"/>
  </w:num>
  <w:num w:numId="26" w16cid:durableId="519128908">
    <w:abstractNumId w:val="0"/>
  </w:num>
  <w:num w:numId="27" w16cid:durableId="207763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789E"/>
    <w:rsid w:val="00016097"/>
    <w:rsid w:val="0003080F"/>
    <w:rsid w:val="00031DB0"/>
    <w:rsid w:val="00035096"/>
    <w:rsid w:val="000437E6"/>
    <w:rsid w:val="00050127"/>
    <w:rsid w:val="000510AD"/>
    <w:rsid w:val="000521AC"/>
    <w:rsid w:val="0006555A"/>
    <w:rsid w:val="0006773C"/>
    <w:rsid w:val="00073BA5"/>
    <w:rsid w:val="00085AF9"/>
    <w:rsid w:val="00087CCC"/>
    <w:rsid w:val="00090E64"/>
    <w:rsid w:val="000F69FB"/>
    <w:rsid w:val="001028E7"/>
    <w:rsid w:val="001464AC"/>
    <w:rsid w:val="001605F9"/>
    <w:rsid w:val="00182A3E"/>
    <w:rsid w:val="00183558"/>
    <w:rsid w:val="001B36CE"/>
    <w:rsid w:val="001B6F42"/>
    <w:rsid w:val="001C5805"/>
    <w:rsid w:val="001D48D3"/>
    <w:rsid w:val="001E603B"/>
    <w:rsid w:val="00207159"/>
    <w:rsid w:val="0021743D"/>
    <w:rsid w:val="00247F64"/>
    <w:rsid w:val="002539E9"/>
    <w:rsid w:val="00264C82"/>
    <w:rsid w:val="002B2F73"/>
    <w:rsid w:val="002C021B"/>
    <w:rsid w:val="002C4336"/>
    <w:rsid w:val="002C74F2"/>
    <w:rsid w:val="002D2092"/>
    <w:rsid w:val="002D7A0C"/>
    <w:rsid w:val="002E0F19"/>
    <w:rsid w:val="00301A51"/>
    <w:rsid w:val="0031297A"/>
    <w:rsid w:val="0033358D"/>
    <w:rsid w:val="0033403F"/>
    <w:rsid w:val="003340AF"/>
    <w:rsid w:val="00334390"/>
    <w:rsid w:val="00395391"/>
    <w:rsid w:val="003D52FE"/>
    <w:rsid w:val="003E228A"/>
    <w:rsid w:val="003E4BD0"/>
    <w:rsid w:val="003E60E6"/>
    <w:rsid w:val="003E76EE"/>
    <w:rsid w:val="003F31FD"/>
    <w:rsid w:val="003F48E6"/>
    <w:rsid w:val="00400444"/>
    <w:rsid w:val="00407A6B"/>
    <w:rsid w:val="00410CB4"/>
    <w:rsid w:val="004142D9"/>
    <w:rsid w:val="00417B57"/>
    <w:rsid w:val="00427AB4"/>
    <w:rsid w:val="00427B83"/>
    <w:rsid w:val="00435AA9"/>
    <w:rsid w:val="0047143B"/>
    <w:rsid w:val="00482EEE"/>
    <w:rsid w:val="004B3AF8"/>
    <w:rsid w:val="004B5147"/>
    <w:rsid w:val="004D3DC0"/>
    <w:rsid w:val="004D5960"/>
    <w:rsid w:val="004E4A0D"/>
    <w:rsid w:val="004E794E"/>
    <w:rsid w:val="005012F2"/>
    <w:rsid w:val="0050653C"/>
    <w:rsid w:val="005105EE"/>
    <w:rsid w:val="00525D9E"/>
    <w:rsid w:val="00527545"/>
    <w:rsid w:val="0054293F"/>
    <w:rsid w:val="00556BE9"/>
    <w:rsid w:val="00557F7B"/>
    <w:rsid w:val="005741F4"/>
    <w:rsid w:val="00574CFA"/>
    <w:rsid w:val="00593507"/>
    <w:rsid w:val="005938C7"/>
    <w:rsid w:val="005A1F4D"/>
    <w:rsid w:val="005A76E0"/>
    <w:rsid w:val="005C05A6"/>
    <w:rsid w:val="005C4512"/>
    <w:rsid w:val="005C69FF"/>
    <w:rsid w:val="005C6A70"/>
    <w:rsid w:val="005C7B02"/>
    <w:rsid w:val="005D68FD"/>
    <w:rsid w:val="005E0CD4"/>
    <w:rsid w:val="005E0FC5"/>
    <w:rsid w:val="005E53DB"/>
    <w:rsid w:val="005E59E7"/>
    <w:rsid w:val="00611C59"/>
    <w:rsid w:val="00616188"/>
    <w:rsid w:val="006178DE"/>
    <w:rsid w:val="00621B32"/>
    <w:rsid w:val="00626A28"/>
    <w:rsid w:val="00626BCD"/>
    <w:rsid w:val="006B4644"/>
    <w:rsid w:val="006D2E53"/>
    <w:rsid w:val="00712C86"/>
    <w:rsid w:val="0073654D"/>
    <w:rsid w:val="00736E1C"/>
    <w:rsid w:val="007622BA"/>
    <w:rsid w:val="00795C95"/>
    <w:rsid w:val="007B1B75"/>
    <w:rsid w:val="007B3814"/>
    <w:rsid w:val="007B387C"/>
    <w:rsid w:val="007E16CC"/>
    <w:rsid w:val="007E597B"/>
    <w:rsid w:val="007E7BAE"/>
    <w:rsid w:val="007F517C"/>
    <w:rsid w:val="007F6BCF"/>
    <w:rsid w:val="0080661C"/>
    <w:rsid w:val="008171B5"/>
    <w:rsid w:val="008208BD"/>
    <w:rsid w:val="00822AE4"/>
    <w:rsid w:val="00836E8C"/>
    <w:rsid w:val="0087168D"/>
    <w:rsid w:val="00876C9B"/>
    <w:rsid w:val="00891AE9"/>
    <w:rsid w:val="0089409D"/>
    <w:rsid w:val="008A31C2"/>
    <w:rsid w:val="008E5963"/>
    <w:rsid w:val="008F5A6A"/>
    <w:rsid w:val="008F63E0"/>
    <w:rsid w:val="008F7849"/>
    <w:rsid w:val="00904E50"/>
    <w:rsid w:val="00915042"/>
    <w:rsid w:val="0094757B"/>
    <w:rsid w:val="009514BF"/>
    <w:rsid w:val="00957C14"/>
    <w:rsid w:val="00960E24"/>
    <w:rsid w:val="00970982"/>
    <w:rsid w:val="00985213"/>
    <w:rsid w:val="00986E7B"/>
    <w:rsid w:val="009B1AA8"/>
    <w:rsid w:val="009B3088"/>
    <w:rsid w:val="009B6757"/>
    <w:rsid w:val="009B6F95"/>
    <w:rsid w:val="009E083C"/>
    <w:rsid w:val="009E1591"/>
    <w:rsid w:val="009E6285"/>
    <w:rsid w:val="009F28EA"/>
    <w:rsid w:val="009F38BF"/>
    <w:rsid w:val="009F6A84"/>
    <w:rsid w:val="009F7840"/>
    <w:rsid w:val="00A07181"/>
    <w:rsid w:val="00A10577"/>
    <w:rsid w:val="00A57AAF"/>
    <w:rsid w:val="00A615EB"/>
    <w:rsid w:val="00A8433B"/>
    <w:rsid w:val="00A9691B"/>
    <w:rsid w:val="00AA58C8"/>
    <w:rsid w:val="00AD72B1"/>
    <w:rsid w:val="00AE540D"/>
    <w:rsid w:val="00AE5685"/>
    <w:rsid w:val="00B01829"/>
    <w:rsid w:val="00B12D2F"/>
    <w:rsid w:val="00B142B8"/>
    <w:rsid w:val="00B16117"/>
    <w:rsid w:val="00B34073"/>
    <w:rsid w:val="00B411ED"/>
    <w:rsid w:val="00B51041"/>
    <w:rsid w:val="00B54B4D"/>
    <w:rsid w:val="00B758E0"/>
    <w:rsid w:val="00B77BA0"/>
    <w:rsid w:val="00B801F0"/>
    <w:rsid w:val="00B84F31"/>
    <w:rsid w:val="00B85C2C"/>
    <w:rsid w:val="00B93E39"/>
    <w:rsid w:val="00BA21EC"/>
    <w:rsid w:val="00BA4429"/>
    <w:rsid w:val="00BA7BA9"/>
    <w:rsid w:val="00BB2979"/>
    <w:rsid w:val="00BD09CA"/>
    <w:rsid w:val="00C06720"/>
    <w:rsid w:val="00C24E9A"/>
    <w:rsid w:val="00C3299C"/>
    <w:rsid w:val="00C44CAC"/>
    <w:rsid w:val="00C52918"/>
    <w:rsid w:val="00C62F13"/>
    <w:rsid w:val="00C662BC"/>
    <w:rsid w:val="00C803F3"/>
    <w:rsid w:val="00C80EDE"/>
    <w:rsid w:val="00C826DC"/>
    <w:rsid w:val="00C85211"/>
    <w:rsid w:val="00C852F8"/>
    <w:rsid w:val="00C8597A"/>
    <w:rsid w:val="00C93D4F"/>
    <w:rsid w:val="00C97780"/>
    <w:rsid w:val="00CA4291"/>
    <w:rsid w:val="00CB7388"/>
    <w:rsid w:val="00CB7A15"/>
    <w:rsid w:val="00CD3A7F"/>
    <w:rsid w:val="00CE2513"/>
    <w:rsid w:val="00CF115E"/>
    <w:rsid w:val="00D00366"/>
    <w:rsid w:val="00D33E6C"/>
    <w:rsid w:val="00D369FC"/>
    <w:rsid w:val="00D43232"/>
    <w:rsid w:val="00D45B4D"/>
    <w:rsid w:val="00D5089E"/>
    <w:rsid w:val="00D56BD3"/>
    <w:rsid w:val="00D62AE7"/>
    <w:rsid w:val="00D62C90"/>
    <w:rsid w:val="00D73825"/>
    <w:rsid w:val="00D94607"/>
    <w:rsid w:val="00D94AB1"/>
    <w:rsid w:val="00DA7394"/>
    <w:rsid w:val="00DB397E"/>
    <w:rsid w:val="00DB707E"/>
    <w:rsid w:val="00DE0066"/>
    <w:rsid w:val="00DE50E3"/>
    <w:rsid w:val="00E0670D"/>
    <w:rsid w:val="00E2135A"/>
    <w:rsid w:val="00E31031"/>
    <w:rsid w:val="00E313EA"/>
    <w:rsid w:val="00E42611"/>
    <w:rsid w:val="00E638C4"/>
    <w:rsid w:val="00E80016"/>
    <w:rsid w:val="00EB06C7"/>
    <w:rsid w:val="00EC7329"/>
    <w:rsid w:val="00ED54FF"/>
    <w:rsid w:val="00F0188B"/>
    <w:rsid w:val="00F025EA"/>
    <w:rsid w:val="00F03A2A"/>
    <w:rsid w:val="00F1398C"/>
    <w:rsid w:val="00F251A2"/>
    <w:rsid w:val="00F35C07"/>
    <w:rsid w:val="00F56A4C"/>
    <w:rsid w:val="00F96DCE"/>
    <w:rsid w:val="00FA3DB0"/>
    <w:rsid w:val="00FA4D7B"/>
    <w:rsid w:val="00FB37FE"/>
    <w:rsid w:val="00FC6083"/>
    <w:rsid w:val="00FE2724"/>
    <w:rsid w:val="00FE35AC"/>
    <w:rsid w:val="00FF0CB5"/>
    <w:rsid w:val="01DAEB15"/>
    <w:rsid w:val="03D39BC4"/>
    <w:rsid w:val="0DAB87A6"/>
    <w:rsid w:val="0F1244E2"/>
    <w:rsid w:val="0FC096B2"/>
    <w:rsid w:val="1542B718"/>
    <w:rsid w:val="21E14D6D"/>
    <w:rsid w:val="2626FE5B"/>
    <w:rsid w:val="33F8D52B"/>
    <w:rsid w:val="4343EFE1"/>
    <w:rsid w:val="523E7E78"/>
    <w:rsid w:val="58218A0F"/>
    <w:rsid w:val="5840B0EA"/>
    <w:rsid w:val="64AB6EE8"/>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8CE55C3D-BBE0-4504-BA02-CDAC8857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paragraph" w:customStyle="1" w:styleId="paragraph">
    <w:name w:val="paragraph"/>
    <w:basedOn w:val="Normal"/>
    <w:rsid w:val="008F63E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excerpt">
    <w:name w:val="noexcerpt"/>
    <w:basedOn w:val="DefaultParagraphFont"/>
    <w:rsid w:val="00A8433B"/>
  </w:style>
  <w:style w:type="character" w:styleId="Hyperlink">
    <w:name w:val="Hyperlink"/>
    <w:basedOn w:val="DefaultParagraphFont"/>
    <w:uiPriority w:val="99"/>
    <w:unhideWhenUsed/>
    <w:rsid w:val="00A8433B"/>
    <w:rPr>
      <w:color w:val="0000FF"/>
      <w:u w:val="single"/>
    </w:rPr>
  </w:style>
  <w:style w:type="paragraph" w:styleId="NormalWeb">
    <w:name w:val="Normal (Web)"/>
    <w:basedOn w:val="Normal"/>
    <w:uiPriority w:val="99"/>
    <w:unhideWhenUsed/>
    <w:rsid w:val="00B85C2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0016"/>
    <w:rPr>
      <w:sz w:val="16"/>
      <w:szCs w:val="16"/>
    </w:rPr>
  </w:style>
  <w:style w:type="paragraph" w:styleId="CommentText">
    <w:name w:val="annotation text"/>
    <w:basedOn w:val="Normal"/>
    <w:link w:val="CommentTextChar"/>
    <w:uiPriority w:val="99"/>
    <w:semiHidden/>
    <w:unhideWhenUsed/>
    <w:rsid w:val="00E80016"/>
    <w:pPr>
      <w:spacing w:line="240" w:lineRule="auto"/>
    </w:pPr>
    <w:rPr>
      <w:sz w:val="20"/>
      <w:szCs w:val="20"/>
    </w:rPr>
  </w:style>
  <w:style w:type="character" w:customStyle="1" w:styleId="CommentTextChar">
    <w:name w:val="Comment Text Char"/>
    <w:basedOn w:val="DefaultParagraphFont"/>
    <w:link w:val="CommentText"/>
    <w:uiPriority w:val="99"/>
    <w:semiHidden/>
    <w:rsid w:val="00E8001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0016"/>
    <w:rPr>
      <w:b/>
      <w:bCs/>
    </w:rPr>
  </w:style>
  <w:style w:type="character" w:customStyle="1" w:styleId="CommentSubjectChar">
    <w:name w:val="Comment Subject Char"/>
    <w:basedOn w:val="CommentTextChar"/>
    <w:link w:val="CommentSubject"/>
    <w:uiPriority w:val="99"/>
    <w:semiHidden/>
    <w:rsid w:val="00E80016"/>
    <w:rPr>
      <w:rFonts w:ascii="Arial" w:eastAsiaTheme="minorHAnsi" w:hAnsi="Arial"/>
      <w:b/>
      <w:bCs/>
      <w:sz w:val="20"/>
      <w:szCs w:val="20"/>
      <w:lang w:eastAsia="en-US"/>
    </w:rPr>
  </w:style>
  <w:style w:type="paragraph" w:customStyle="1" w:styleId="Default">
    <w:name w:val="Default"/>
    <w:rsid w:val="00A0718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7974157260msonospacing">
    <w:name w:val="yiv7974157260msonospacing"/>
    <w:basedOn w:val="Normal"/>
    <w:rsid w:val="00A07181"/>
    <w:pPr>
      <w:spacing w:before="100" w:beforeAutospacing="1" w:after="100" w:afterAutospacing="1" w:line="240" w:lineRule="auto"/>
      <w:ind w:left="0" w:firstLine="0"/>
    </w:pPr>
    <w:rPr>
      <w:rFonts w:ascii="Calibri" w:hAnsi="Calibri" w:cs="Calibri"/>
      <w:lang w:eastAsia="en-GB"/>
    </w:rPr>
  </w:style>
  <w:style w:type="character" w:styleId="UnresolvedMention">
    <w:name w:val="Unresolved Mention"/>
    <w:basedOn w:val="DefaultParagraphFont"/>
    <w:uiPriority w:val="99"/>
    <w:semiHidden/>
    <w:unhideWhenUsed/>
    <w:rsid w:val="009F7840"/>
    <w:rPr>
      <w:color w:val="605E5C"/>
      <w:shd w:val="clear" w:color="auto" w:fill="E1DFDD"/>
    </w:rPr>
  </w:style>
  <w:style w:type="paragraph" w:customStyle="1" w:styleId="xparagraph">
    <w:name w:val="x_paragraph"/>
    <w:basedOn w:val="Normal"/>
    <w:rsid w:val="0047143B"/>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xnormaltextrun">
    <w:name w:val="x_normaltextrun"/>
    <w:basedOn w:val="DefaultParagraphFont"/>
    <w:rsid w:val="0047143B"/>
  </w:style>
  <w:style w:type="character" w:styleId="FollowedHyperlink">
    <w:name w:val="FollowedHyperlink"/>
    <w:basedOn w:val="DefaultParagraphFont"/>
    <w:uiPriority w:val="99"/>
    <w:semiHidden/>
    <w:unhideWhenUsed/>
    <w:rsid w:val="00CB7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17609">
      <w:bodyDiv w:val="1"/>
      <w:marLeft w:val="0"/>
      <w:marRight w:val="0"/>
      <w:marTop w:val="0"/>
      <w:marBottom w:val="0"/>
      <w:divBdr>
        <w:top w:val="none" w:sz="0" w:space="0" w:color="auto"/>
        <w:left w:val="none" w:sz="0" w:space="0" w:color="auto"/>
        <w:bottom w:val="none" w:sz="0" w:space="0" w:color="auto"/>
        <w:right w:val="none" w:sz="0" w:space="0" w:color="auto"/>
      </w:divBdr>
    </w:div>
    <w:div w:id="579407535">
      <w:bodyDiv w:val="1"/>
      <w:marLeft w:val="0"/>
      <w:marRight w:val="0"/>
      <w:marTop w:val="0"/>
      <w:marBottom w:val="0"/>
      <w:divBdr>
        <w:top w:val="none" w:sz="0" w:space="0" w:color="auto"/>
        <w:left w:val="none" w:sz="0" w:space="0" w:color="auto"/>
        <w:bottom w:val="none" w:sz="0" w:space="0" w:color="auto"/>
        <w:right w:val="none" w:sz="0" w:space="0" w:color="auto"/>
      </w:divBdr>
    </w:div>
    <w:div w:id="644437662">
      <w:bodyDiv w:val="1"/>
      <w:marLeft w:val="0"/>
      <w:marRight w:val="0"/>
      <w:marTop w:val="0"/>
      <w:marBottom w:val="0"/>
      <w:divBdr>
        <w:top w:val="none" w:sz="0" w:space="0" w:color="auto"/>
        <w:left w:val="none" w:sz="0" w:space="0" w:color="auto"/>
        <w:bottom w:val="none" w:sz="0" w:space="0" w:color="auto"/>
        <w:right w:val="none" w:sz="0" w:space="0" w:color="auto"/>
      </w:divBdr>
    </w:div>
    <w:div w:id="667173257">
      <w:bodyDiv w:val="1"/>
      <w:marLeft w:val="0"/>
      <w:marRight w:val="0"/>
      <w:marTop w:val="0"/>
      <w:marBottom w:val="0"/>
      <w:divBdr>
        <w:top w:val="none" w:sz="0" w:space="0" w:color="auto"/>
        <w:left w:val="none" w:sz="0" w:space="0" w:color="auto"/>
        <w:bottom w:val="none" w:sz="0" w:space="0" w:color="auto"/>
        <w:right w:val="none" w:sz="0" w:space="0" w:color="auto"/>
      </w:divBdr>
    </w:div>
    <w:div w:id="930695533">
      <w:bodyDiv w:val="1"/>
      <w:marLeft w:val="0"/>
      <w:marRight w:val="0"/>
      <w:marTop w:val="0"/>
      <w:marBottom w:val="0"/>
      <w:divBdr>
        <w:top w:val="none" w:sz="0" w:space="0" w:color="auto"/>
        <w:left w:val="none" w:sz="0" w:space="0" w:color="auto"/>
        <w:bottom w:val="none" w:sz="0" w:space="0" w:color="auto"/>
        <w:right w:val="none" w:sz="0" w:space="0" w:color="auto"/>
      </w:divBdr>
    </w:div>
    <w:div w:id="1078557038">
      <w:bodyDiv w:val="1"/>
      <w:marLeft w:val="0"/>
      <w:marRight w:val="0"/>
      <w:marTop w:val="0"/>
      <w:marBottom w:val="0"/>
      <w:divBdr>
        <w:top w:val="none" w:sz="0" w:space="0" w:color="auto"/>
        <w:left w:val="none" w:sz="0" w:space="0" w:color="auto"/>
        <w:bottom w:val="none" w:sz="0" w:space="0" w:color="auto"/>
        <w:right w:val="none" w:sz="0" w:space="0" w:color="auto"/>
      </w:divBdr>
      <w:divsChild>
        <w:div w:id="1990286431">
          <w:marLeft w:val="0"/>
          <w:marRight w:val="0"/>
          <w:marTop w:val="0"/>
          <w:marBottom w:val="0"/>
          <w:divBdr>
            <w:top w:val="none" w:sz="0" w:space="0" w:color="auto"/>
            <w:left w:val="none" w:sz="0" w:space="0" w:color="auto"/>
            <w:bottom w:val="none" w:sz="0" w:space="0" w:color="auto"/>
            <w:right w:val="none" w:sz="0" w:space="0" w:color="auto"/>
          </w:divBdr>
        </w:div>
        <w:div w:id="2008359236">
          <w:marLeft w:val="0"/>
          <w:marRight w:val="0"/>
          <w:marTop w:val="0"/>
          <w:marBottom w:val="0"/>
          <w:divBdr>
            <w:top w:val="none" w:sz="0" w:space="0" w:color="auto"/>
            <w:left w:val="none" w:sz="0" w:space="0" w:color="auto"/>
            <w:bottom w:val="none" w:sz="0" w:space="0" w:color="auto"/>
            <w:right w:val="none" w:sz="0" w:space="0" w:color="auto"/>
          </w:divBdr>
        </w:div>
      </w:divsChild>
    </w:div>
    <w:div w:id="1129587213">
      <w:bodyDiv w:val="1"/>
      <w:marLeft w:val="0"/>
      <w:marRight w:val="0"/>
      <w:marTop w:val="0"/>
      <w:marBottom w:val="0"/>
      <w:divBdr>
        <w:top w:val="none" w:sz="0" w:space="0" w:color="auto"/>
        <w:left w:val="none" w:sz="0" w:space="0" w:color="auto"/>
        <w:bottom w:val="none" w:sz="0" w:space="0" w:color="auto"/>
        <w:right w:val="none" w:sz="0" w:space="0" w:color="auto"/>
      </w:divBdr>
      <w:divsChild>
        <w:div w:id="1873153815">
          <w:marLeft w:val="0"/>
          <w:marRight w:val="0"/>
          <w:marTop w:val="0"/>
          <w:marBottom w:val="0"/>
          <w:divBdr>
            <w:top w:val="none" w:sz="0" w:space="0" w:color="auto"/>
            <w:left w:val="none" w:sz="0" w:space="0" w:color="auto"/>
            <w:bottom w:val="none" w:sz="0" w:space="0" w:color="auto"/>
            <w:right w:val="none" w:sz="0" w:space="0" w:color="auto"/>
          </w:divBdr>
        </w:div>
        <w:div w:id="76027436">
          <w:marLeft w:val="0"/>
          <w:marRight w:val="0"/>
          <w:marTop w:val="0"/>
          <w:marBottom w:val="0"/>
          <w:divBdr>
            <w:top w:val="none" w:sz="0" w:space="0" w:color="auto"/>
            <w:left w:val="none" w:sz="0" w:space="0" w:color="auto"/>
            <w:bottom w:val="none" w:sz="0" w:space="0" w:color="auto"/>
            <w:right w:val="none" w:sz="0" w:space="0" w:color="auto"/>
          </w:divBdr>
        </w:div>
        <w:div w:id="510532925">
          <w:marLeft w:val="0"/>
          <w:marRight w:val="0"/>
          <w:marTop w:val="0"/>
          <w:marBottom w:val="0"/>
          <w:divBdr>
            <w:top w:val="none" w:sz="0" w:space="0" w:color="auto"/>
            <w:left w:val="none" w:sz="0" w:space="0" w:color="auto"/>
            <w:bottom w:val="none" w:sz="0" w:space="0" w:color="auto"/>
            <w:right w:val="none" w:sz="0" w:space="0" w:color="auto"/>
          </w:divBdr>
        </w:div>
        <w:div w:id="1262101428">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9114455">
      <w:bodyDiv w:val="1"/>
      <w:marLeft w:val="0"/>
      <w:marRight w:val="0"/>
      <w:marTop w:val="0"/>
      <w:marBottom w:val="0"/>
      <w:divBdr>
        <w:top w:val="none" w:sz="0" w:space="0" w:color="auto"/>
        <w:left w:val="none" w:sz="0" w:space="0" w:color="auto"/>
        <w:bottom w:val="none" w:sz="0" w:space="0" w:color="auto"/>
        <w:right w:val="none" w:sz="0" w:space="0" w:color="auto"/>
      </w:divBdr>
    </w:div>
    <w:div w:id="1952932643">
      <w:bodyDiv w:val="1"/>
      <w:marLeft w:val="0"/>
      <w:marRight w:val="0"/>
      <w:marTop w:val="0"/>
      <w:marBottom w:val="0"/>
      <w:divBdr>
        <w:top w:val="none" w:sz="0" w:space="0" w:color="auto"/>
        <w:left w:val="none" w:sz="0" w:space="0" w:color="auto"/>
        <w:bottom w:val="none" w:sz="0" w:space="0" w:color="auto"/>
        <w:right w:val="none" w:sz="0" w:space="0" w:color="auto"/>
      </w:divBdr>
    </w:div>
    <w:div w:id="19613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professional.co.uk/news/ace-instructed-address-funding-imbalance" TargetMode="External"/><Relationship Id="rId18" Type="http://schemas.openxmlformats.org/officeDocument/2006/relationships/hyperlink" Target="https://www.artsprofessional.co.uk/news/npo-analysis-city-culture-bidders-see-funding-uplif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rtscouncil.org.uk/equality-diversity-and-inclusion-data-report-2020-2021" TargetMode="External"/><Relationship Id="rId7" Type="http://schemas.openxmlformats.org/officeDocument/2006/relationships/settings" Target="settings.xml"/><Relationship Id="rId12" Type="http://schemas.openxmlformats.org/officeDocument/2006/relationships/hyperlink" Target="https://www.artsprofessional.co.uk/news/levelling-white-paper-targets-cultural-engagement-outside-london" TargetMode="External"/><Relationship Id="rId17" Type="http://schemas.openxmlformats.org/officeDocument/2006/relationships/hyperlink" Target="https://www.artsprofessional.co.uk/news/npo-analysis-funding-breakdown-local-authority?no=cach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tscouncil.org.uk/investment23/2023-26-investment-programme-budget-confirmation-and-application-figures" TargetMode="External"/><Relationship Id="rId20" Type="http://schemas.openxmlformats.org/officeDocument/2006/relationships/hyperlink" Target="https://www.artscouncil.org.uk/developing-creativity-and-culture/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lets-crea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tscouncil.org.uk/investment23/2023-26-investment-programme-timelin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rtsprofessional.co.uk/news/npo-decisions-changes-regional-funding-distrib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investment23/2023-26-investment-programme-budget-confirmation-and-application-figures" TargetMode="External"/><Relationship Id="rId22" Type="http://schemas.openxmlformats.org/officeDocument/2006/relationships/hyperlink" Target="https://www.local.gov.uk/about/news/coronavirus-local-government-and-arts-council-england-launch-collaboration-suppor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64C90"/>
    <w:rsid w:val="004C3FEC"/>
    <w:rsid w:val="004D2D72"/>
    <w:rsid w:val="00541E53"/>
    <w:rsid w:val="006F4390"/>
    <w:rsid w:val="007F6BCF"/>
    <w:rsid w:val="00E92A83"/>
    <w:rsid w:val="00EE4C24"/>
    <w:rsid w:val="00F4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UserInfo>
        <DisplayName>Member Services Central Mailbox</DisplayName>
        <AccountId>601</AccountId>
        <AccountType/>
      </UserInfo>
    </SharedWithUsers>
    <lcf76f155ced4ddcb4097134ff3c332f xmlns="a4001f1c-9a82-435c-9063-b0d0cae81f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4.xml><?xml version="1.0" encoding="utf-8"?>
<ds:datastoreItem xmlns:ds="http://schemas.openxmlformats.org/officeDocument/2006/customXml" ds:itemID="{A5EE6E22-F029-469E-B01A-C26BED7C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Alexander Reid</cp:lastModifiedBy>
  <cp:revision>2</cp:revision>
  <dcterms:created xsi:type="dcterms:W3CDTF">2023-01-25T14:52:00Z</dcterms:created>
  <dcterms:modified xsi:type="dcterms:W3CDTF">2023-01-25T14:52:00Z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